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BE74" w14:textId="01B04BE4" w:rsidR="00F13133" w:rsidRPr="00417FA0" w:rsidRDefault="00D44F15">
      <w:r>
        <w:t xml:space="preserve">Sheridan </w:t>
      </w:r>
      <w:r w:rsidR="004D761C">
        <w:t xml:space="preserve">Hough, </w:t>
      </w:r>
      <w:r w:rsidR="004D761C" w:rsidRPr="00417FA0">
        <w:rPr>
          <w:i/>
        </w:rPr>
        <w:t>K</w:t>
      </w:r>
      <w:r w:rsidR="00292FEC" w:rsidRPr="00417FA0">
        <w:rPr>
          <w:i/>
        </w:rPr>
        <w:t>ierk</w:t>
      </w:r>
      <w:r w:rsidR="00AF796D" w:rsidRPr="00417FA0">
        <w:rPr>
          <w:i/>
        </w:rPr>
        <w:t>eg</w:t>
      </w:r>
      <w:r w:rsidR="00292FEC" w:rsidRPr="00417FA0">
        <w:rPr>
          <w:i/>
        </w:rPr>
        <w:t>aard's Dancing Tax Collector</w:t>
      </w:r>
      <w:r w:rsidR="00417FA0">
        <w:t xml:space="preserve"> Oxford University Press. 2015.</w:t>
      </w:r>
    </w:p>
    <w:p w14:paraId="294AE702" w14:textId="23487FA7" w:rsidR="00AF796D" w:rsidRDefault="00D33545">
      <w:r>
        <w:t xml:space="preserve"> </w:t>
      </w:r>
    </w:p>
    <w:p w14:paraId="58FECD53" w14:textId="4217BCB3" w:rsidR="00D33545" w:rsidRDefault="00D33545"/>
    <w:p w14:paraId="23AEE6D0" w14:textId="2F55E5B0" w:rsidR="00D33545" w:rsidRDefault="00D33545" w:rsidP="00D33545">
      <w:pPr>
        <w:jc w:val="center"/>
        <w:rPr>
          <w:b/>
          <w:i/>
        </w:rPr>
      </w:pPr>
      <w:r>
        <w:rPr>
          <w:b/>
        </w:rPr>
        <w:t xml:space="preserve">Form and Faith in </w:t>
      </w:r>
      <w:r>
        <w:rPr>
          <w:b/>
          <w:i/>
        </w:rPr>
        <w:t>Kierkegaard’s Dancing Tax Collector</w:t>
      </w:r>
    </w:p>
    <w:p w14:paraId="0D595760" w14:textId="41ECE75F" w:rsidR="00D33545" w:rsidRPr="00D33545" w:rsidRDefault="00D33545" w:rsidP="00D33545">
      <w:pPr>
        <w:jc w:val="center"/>
      </w:pPr>
      <w:r>
        <w:t>Susanna Siegel * February 2021</w:t>
      </w:r>
    </w:p>
    <w:p w14:paraId="1AB31254" w14:textId="3A2E99E2" w:rsidR="004D761C" w:rsidRDefault="007F34F2">
      <w:r>
        <w:t xml:space="preserve"> </w:t>
      </w:r>
    </w:p>
    <w:p w14:paraId="78915018" w14:textId="77777777" w:rsidR="00D33545" w:rsidRDefault="00D33545"/>
    <w:p w14:paraId="4C561AFD" w14:textId="5765AB6B" w:rsidR="00641E72" w:rsidRPr="00FE4E18" w:rsidRDefault="00E742C3">
      <w:pPr>
        <w:rPr>
          <w:b/>
        </w:rPr>
      </w:pPr>
      <w:r>
        <w:rPr>
          <w:b/>
        </w:rPr>
        <w:t xml:space="preserve">1. </w:t>
      </w:r>
      <w:r w:rsidR="00210492">
        <w:rPr>
          <w:b/>
        </w:rPr>
        <w:t>F</w:t>
      </w:r>
      <w:r w:rsidR="00A51673" w:rsidRPr="00E742C3">
        <w:rPr>
          <w:b/>
        </w:rPr>
        <w:t>orm</w:t>
      </w:r>
    </w:p>
    <w:p w14:paraId="195BD938" w14:textId="54C11430" w:rsidR="00C0345F" w:rsidRDefault="006D0403">
      <w:r>
        <w:t>Most</w:t>
      </w:r>
      <w:r w:rsidR="007F34F2">
        <w:t xml:space="preserve"> novel</w:t>
      </w:r>
      <w:r>
        <w:t>s</w:t>
      </w:r>
      <w:r w:rsidR="007F34F2">
        <w:t xml:space="preserve"> </w:t>
      </w:r>
      <w:r>
        <w:t>are</w:t>
      </w:r>
      <w:r w:rsidR="007F34F2">
        <w:t xml:space="preserve"> narrated by someone other than </w:t>
      </w:r>
      <w:r>
        <w:t>their</w:t>
      </w:r>
      <w:r w:rsidR="007F34F2">
        <w:t xml:space="preserve"> author. </w:t>
      </w:r>
      <w:r w:rsidR="007F34F2" w:rsidRPr="00417FA0">
        <w:rPr>
          <w:i/>
        </w:rPr>
        <w:t>Kierkegaard's Dancing Tax Collector</w:t>
      </w:r>
      <w:r w:rsidR="007F34F2">
        <w:rPr>
          <w:i/>
        </w:rPr>
        <w:t xml:space="preserve"> </w:t>
      </w:r>
      <w:r>
        <w:t>is not a novel, but it shares</w:t>
      </w:r>
      <w:r w:rsidR="007F34F2">
        <w:t xml:space="preserve"> this </w:t>
      </w:r>
      <w:r>
        <w:t>feature</w:t>
      </w:r>
      <w:r w:rsidR="007F34F2">
        <w:t xml:space="preserve">. </w:t>
      </w:r>
      <w:r>
        <w:t>This</w:t>
      </w:r>
      <w:r>
        <w:t xml:space="preserve"> marvelous book by Sheridan Hough </w:t>
      </w:r>
      <w:r w:rsidR="007F34F2">
        <w:t>has</w:t>
      </w:r>
      <w:r w:rsidR="00641E72">
        <w:t xml:space="preserve"> the </w:t>
      </w:r>
      <w:r w:rsidR="00210492">
        <w:t xml:space="preserve">same </w:t>
      </w:r>
      <w:r>
        <w:t xml:space="preserve">literary </w:t>
      </w:r>
      <w:r w:rsidR="00641E72">
        <w:t>form</w:t>
      </w:r>
      <w:r w:rsidR="00210492">
        <w:t xml:space="preserve"> as a novel narrated in the first person</w:t>
      </w:r>
      <w:r w:rsidR="007F34F2">
        <w:t xml:space="preserve"> </w:t>
      </w:r>
      <w:r w:rsidR="00210492">
        <w:t xml:space="preserve">by </w:t>
      </w:r>
      <w:r w:rsidR="007F34F2">
        <w:t>a speaker</w:t>
      </w:r>
      <w:r w:rsidR="00210492">
        <w:t xml:space="preserve"> who rarely discusses herself.</w:t>
      </w:r>
      <w:r w:rsidR="00641E72">
        <w:t xml:space="preserve"> </w:t>
      </w:r>
      <w:r w:rsidR="00BC07A7">
        <w:t>N</w:t>
      </w:r>
      <w:r w:rsidR="00210492">
        <w:t xml:space="preserve">early </w:t>
      </w:r>
      <w:r w:rsidR="00641E72">
        <w:t xml:space="preserve">all of </w:t>
      </w:r>
      <w:r w:rsidR="007F34F2">
        <w:t>the book</w:t>
      </w:r>
      <w:r w:rsidR="00210492">
        <w:t xml:space="preserve"> </w:t>
      </w:r>
      <w:r w:rsidR="00641E72">
        <w:t xml:space="preserve">is narrated by </w:t>
      </w:r>
      <w:r w:rsidR="007F34F2">
        <w:t>someone distinct from Hough with a similar</w:t>
      </w:r>
      <w:r w:rsidR="003446C2">
        <w:t xml:space="preserve"> (and informative)</w:t>
      </w:r>
      <w:r w:rsidR="007F34F2">
        <w:t xml:space="preserve"> name: </w:t>
      </w:r>
      <w:r w:rsidR="00210492">
        <w:t>Sheridan Hough, Lover of the Tax Collector</w:t>
      </w:r>
      <w:r w:rsidR="003446C2">
        <w:t xml:space="preserve"> (hereafter </w:t>
      </w:r>
      <w:r w:rsidR="00210492">
        <w:t>SH-</w:t>
      </w:r>
      <w:proofErr w:type="spellStart"/>
      <w:r w:rsidR="00210492">
        <w:t>LTC</w:t>
      </w:r>
      <w:proofErr w:type="spellEnd"/>
      <w:r w:rsidR="003446C2">
        <w:t>)</w:t>
      </w:r>
      <w:r w:rsidR="00641E72">
        <w:t xml:space="preserve">. </w:t>
      </w:r>
      <w:r w:rsidR="00C0345F">
        <w:t>The</w:t>
      </w:r>
      <w:r w:rsidR="003446C2">
        <w:t xml:space="preserve"> only</w:t>
      </w:r>
      <w:r w:rsidR="00C0345F">
        <w:t xml:space="preserve"> exception comes at the very end, in the "First and L</w:t>
      </w:r>
      <w:r w:rsidR="00210492">
        <w:t xml:space="preserve">ast Explanation", which is narrated by </w:t>
      </w:r>
      <w:r w:rsidR="00872F39">
        <w:t>Hough</w:t>
      </w:r>
      <w:r w:rsidR="00210492">
        <w:t xml:space="preserve"> herself.</w:t>
      </w:r>
    </w:p>
    <w:p w14:paraId="7C3097A7" w14:textId="77777777" w:rsidR="008D4BC9" w:rsidRDefault="008D4BC9"/>
    <w:p w14:paraId="1E564AE2" w14:textId="22BFB4C6" w:rsidR="00641E72" w:rsidRDefault="00210492">
      <w:r>
        <w:t>Hough and SH-</w:t>
      </w:r>
      <w:proofErr w:type="spellStart"/>
      <w:r>
        <w:t>LTC</w:t>
      </w:r>
      <w:proofErr w:type="spellEnd"/>
      <w:r>
        <w:t xml:space="preserve"> are related. Hough </w:t>
      </w:r>
      <w:r w:rsidR="00641E72">
        <w:t>invented SH-</w:t>
      </w:r>
      <w:proofErr w:type="spellStart"/>
      <w:r w:rsidR="00641E72">
        <w:t>LTC</w:t>
      </w:r>
      <w:proofErr w:type="spellEnd"/>
      <w:r w:rsidR="00641E72">
        <w:t>, as an author creates a fictional narrator.</w:t>
      </w:r>
    </w:p>
    <w:p w14:paraId="5A2C5557" w14:textId="77777777" w:rsidR="00641E72" w:rsidRDefault="00641E72"/>
    <w:p w14:paraId="4D20EFC1" w14:textId="66C8E067" w:rsidR="002A22A5" w:rsidRDefault="00086AD6" w:rsidP="002A22A5">
      <w:r>
        <w:t>SH-</w:t>
      </w:r>
      <w:proofErr w:type="spellStart"/>
      <w:r w:rsidR="00CB00A6">
        <w:t>LTC</w:t>
      </w:r>
      <w:proofErr w:type="spellEnd"/>
      <w:r w:rsidR="00CB00A6">
        <w:t xml:space="preserve"> exists</w:t>
      </w:r>
      <w:r w:rsidR="00E05E51">
        <w:t xml:space="preserve"> only as a creature </w:t>
      </w:r>
      <w:r w:rsidR="002A22A5">
        <w:t>with a</w:t>
      </w:r>
      <w:r w:rsidR="008435BD">
        <w:t xml:space="preserve"> task</w:t>
      </w:r>
      <w:r w:rsidR="002A22A5">
        <w:t>. Her task</w:t>
      </w:r>
      <w:r w:rsidR="008435BD">
        <w:t xml:space="preserve"> is to show the reader the nature of</w:t>
      </w:r>
      <w:r w:rsidR="007F324E">
        <w:t xml:space="preserve"> Kierkegaardian</w:t>
      </w:r>
      <w:r w:rsidR="008435BD">
        <w:t xml:space="preserve"> faith</w:t>
      </w:r>
      <w:r w:rsidR="007F324E">
        <w:t xml:space="preserve">. </w:t>
      </w:r>
      <w:r w:rsidR="002A22A5">
        <w:t>There is nothing more</w:t>
      </w:r>
      <w:r w:rsidR="000A04BE">
        <w:t xml:space="preserve"> to SH-</w:t>
      </w:r>
      <w:proofErr w:type="spellStart"/>
      <w:r w:rsidR="000A04BE">
        <w:t>LTC</w:t>
      </w:r>
      <w:proofErr w:type="spellEnd"/>
      <w:r w:rsidR="000A04BE">
        <w:t xml:space="preserve"> than her explication</w:t>
      </w:r>
      <w:r w:rsidR="002A22A5">
        <w:t xml:space="preserve"> of Kierkegaardian faith. </w:t>
      </w:r>
      <w:r w:rsidR="004026A6">
        <w:t>Explication, for these purposes, is</w:t>
      </w:r>
      <w:r w:rsidR="000A04BE">
        <w:t xml:space="preserve"> illumination using explanation</w:t>
      </w:r>
      <w:r w:rsidR="004026A6">
        <w:t xml:space="preserve"> plus whatever else </w:t>
      </w:r>
      <w:r w:rsidR="000A04BE">
        <w:t>may be</w:t>
      </w:r>
      <w:r w:rsidR="004026A6">
        <w:t xml:space="preserve"> needed to illuminate</w:t>
      </w:r>
      <w:r w:rsidR="000A04BE">
        <w:t xml:space="preserve"> the matter at hand</w:t>
      </w:r>
      <w:r w:rsidR="004026A6">
        <w:t>.</w:t>
      </w:r>
    </w:p>
    <w:p w14:paraId="2F32DBA4" w14:textId="77777777" w:rsidR="002A22A5" w:rsidRDefault="002A22A5" w:rsidP="007F324E"/>
    <w:p w14:paraId="003C62C6" w14:textId="3519A3CB" w:rsidR="004026A6" w:rsidRDefault="00772E5B" w:rsidP="007F324E">
      <w:r>
        <w:t>The Kierkegaardian</w:t>
      </w:r>
      <w:r w:rsidR="004026A6">
        <w:t xml:space="preserve"> </w:t>
      </w:r>
      <w:r>
        <w:t>variety</w:t>
      </w:r>
      <w:r w:rsidR="004026A6">
        <w:t xml:space="preserve"> of faith</w:t>
      </w:r>
      <w:r w:rsidR="007F324E">
        <w:t xml:space="preserve"> is something that has to be</w:t>
      </w:r>
      <w:r>
        <w:t xml:space="preserve"> at least partly</w:t>
      </w:r>
      <w:r w:rsidR="007F324E">
        <w:t xml:space="preserve"> shown, not merely </w:t>
      </w:r>
      <w:r w:rsidR="004026A6">
        <w:t>explained</w:t>
      </w:r>
      <w:r w:rsidR="001A2755">
        <w:t>. T</w:t>
      </w:r>
      <w:r w:rsidR="007F324E">
        <w:t xml:space="preserve">hat's because </w:t>
      </w:r>
      <w:r w:rsidR="001A2755">
        <w:t>of its</w:t>
      </w:r>
      <w:r w:rsidR="00C42FCB">
        <w:t xml:space="preserve"> practical nature.</w:t>
      </w:r>
      <w:r w:rsidR="001A2755">
        <w:t xml:space="preserve"> It is a way of moving through the world. It's a practice.</w:t>
      </w:r>
    </w:p>
    <w:p w14:paraId="235E337A" w14:textId="77777777" w:rsidR="004026A6" w:rsidRDefault="004026A6" w:rsidP="007F324E"/>
    <w:p w14:paraId="32110973" w14:textId="4C9C6FE2" w:rsidR="00AC456D" w:rsidRDefault="007F324E" w:rsidP="00B841C8">
      <w:r>
        <w:t xml:space="preserve">How do you show a practice? You could instantiate yourself, by acting it out. </w:t>
      </w:r>
      <w:proofErr w:type="gramStart"/>
      <w:r w:rsidR="00AD5483">
        <w:t>So</w:t>
      </w:r>
      <w:proofErr w:type="gramEnd"/>
      <w:r w:rsidR="00AD5483">
        <w:t xml:space="preserve"> demonstration is</w:t>
      </w:r>
      <w:r>
        <w:t xml:space="preserve"> </w:t>
      </w:r>
      <w:r w:rsidR="00B841C8">
        <w:t>a first</w:t>
      </w:r>
      <w:r>
        <w:t xml:space="preserve"> option. You could also respond to someone else who acts it out, and in your response, bring the nature of the thing you</w:t>
      </w:r>
      <w:r w:rsidR="00E95164">
        <w:t xml:space="preserve"> a</w:t>
      </w:r>
      <w:r>
        <w:t>r</w:t>
      </w:r>
      <w:r w:rsidR="00E95164">
        <w:t>e</w:t>
      </w:r>
      <w:r>
        <w:t xml:space="preserve"> responding to more fully to light.</w:t>
      </w:r>
      <w:r w:rsidR="00B841C8">
        <w:t xml:space="preserve"> This</w:t>
      </w:r>
      <w:r w:rsidR="003A3169">
        <w:t xml:space="preserve"> second</w:t>
      </w:r>
      <w:r w:rsidR="00B841C8">
        <w:t xml:space="preserve"> option</w:t>
      </w:r>
      <w:r>
        <w:t xml:space="preserve"> is </w:t>
      </w:r>
      <w:r w:rsidR="00AC456D">
        <w:t xml:space="preserve">dyadic. It is explicitly </w:t>
      </w:r>
      <w:r w:rsidR="00B841C8">
        <w:t xml:space="preserve">inter-subjective.  </w:t>
      </w:r>
    </w:p>
    <w:p w14:paraId="071E0699" w14:textId="77777777" w:rsidR="00AC456D" w:rsidRDefault="00AC456D" w:rsidP="00B841C8"/>
    <w:p w14:paraId="14C50FA0" w14:textId="6E63FB6A" w:rsidR="007F324E" w:rsidRDefault="00B841C8" w:rsidP="00B841C8">
      <w:r>
        <w:t>SH-</w:t>
      </w:r>
      <w:proofErr w:type="spellStart"/>
      <w:r>
        <w:t>LTC</w:t>
      </w:r>
      <w:proofErr w:type="spellEnd"/>
      <w:r>
        <w:t xml:space="preserve"> </w:t>
      </w:r>
      <w:r w:rsidR="00AC456D">
        <w:t xml:space="preserve">and her partner </w:t>
      </w:r>
      <w:r>
        <w:t>jointly illuminate Kierkegaardian faith.</w:t>
      </w:r>
      <w:r w:rsidR="00AC456D">
        <w:t xml:space="preserve"> </w:t>
      </w:r>
      <w:r w:rsidR="005F3C63">
        <w:t>Her partner is t</w:t>
      </w:r>
      <w:r>
        <w:t xml:space="preserve">he Kierkegaardian figure of the Dancing Tax Collector, </w:t>
      </w:r>
      <w:r w:rsidR="007A4595">
        <w:t>a paragon of</w:t>
      </w:r>
      <w:r w:rsidR="005F3C63">
        <w:t xml:space="preserve"> Kierkegaardian faith. </w:t>
      </w:r>
      <w:r>
        <w:t>SH-</w:t>
      </w:r>
      <w:proofErr w:type="spellStart"/>
      <w:r>
        <w:t>LTC's</w:t>
      </w:r>
      <w:proofErr w:type="spellEnd"/>
      <w:r>
        <w:t xml:space="preserve"> loving explication of him brings </w:t>
      </w:r>
      <w:r w:rsidR="005F3C63">
        <w:t>his faith</w:t>
      </w:r>
      <w:r>
        <w:t xml:space="preserve"> into </w:t>
      </w:r>
      <w:r w:rsidR="005F3C63">
        <w:t>the light for us, her readers. And in bringing it to light we also witness her faith, one level up, in her apprehension of him through her loving engagement.</w:t>
      </w:r>
    </w:p>
    <w:p w14:paraId="5C8B7C51" w14:textId="77777777" w:rsidR="00B841C8" w:rsidRDefault="00B841C8" w:rsidP="007F324E"/>
    <w:p w14:paraId="60B6FA44" w14:textId="1CF8552C" w:rsidR="007F324E" w:rsidRDefault="00B841C8" w:rsidP="007F324E">
      <w:r>
        <w:t xml:space="preserve">In one of the many moments of incidental poetry that grace </w:t>
      </w:r>
      <w:r w:rsidR="005F3C63">
        <w:t>this</w:t>
      </w:r>
      <w:r>
        <w:t xml:space="preserve"> book of philosophy, SH-</w:t>
      </w:r>
      <w:proofErr w:type="spellStart"/>
      <w:r>
        <w:t>LTC</w:t>
      </w:r>
      <w:proofErr w:type="spellEnd"/>
      <w:r>
        <w:t xml:space="preserve"> desc</w:t>
      </w:r>
      <w:r w:rsidR="00F535D8">
        <w:t>ribes the Nietzschean canon as "</w:t>
      </w:r>
      <w:r>
        <w:t>peopled with doubles who are fruitful only in the tandem of tension</w:t>
      </w:r>
      <w:r w:rsidR="00F535D8">
        <w:t>". Peopled with doubles</w:t>
      </w:r>
      <w:r w:rsidR="00E95164">
        <w:t>.</w:t>
      </w:r>
      <w:r w:rsidR="00F535D8">
        <w:t xml:space="preserve"> </w:t>
      </w:r>
      <w:r>
        <w:t xml:space="preserve">I don't think there is exactly a </w:t>
      </w:r>
      <w:r w:rsidR="00F535D8">
        <w:t xml:space="preserve">"tandem of </w:t>
      </w:r>
      <w:r>
        <w:t>tension</w:t>
      </w:r>
      <w:r w:rsidR="00F535D8">
        <w:t>"</w:t>
      </w:r>
      <w:r>
        <w:t xml:space="preserve"> between SH-</w:t>
      </w:r>
      <w:proofErr w:type="spellStart"/>
      <w:r>
        <w:t>LTC</w:t>
      </w:r>
      <w:proofErr w:type="spellEnd"/>
      <w:r>
        <w:t xml:space="preserve"> and </w:t>
      </w:r>
      <w:r w:rsidR="00562C2E">
        <w:t>the dancing tax collector</w:t>
      </w:r>
      <w:r>
        <w:t>. But I see them as a kind of fruitful double.</w:t>
      </w:r>
      <w:r w:rsidR="004026A6">
        <w:t xml:space="preserve"> SH-</w:t>
      </w:r>
      <w:proofErr w:type="spellStart"/>
      <w:r w:rsidR="004026A6">
        <w:t>LTC</w:t>
      </w:r>
      <w:proofErr w:type="spellEnd"/>
      <w:r w:rsidR="004026A6">
        <w:t xml:space="preserve"> is </w:t>
      </w:r>
      <w:r w:rsidR="007F324E">
        <w:t xml:space="preserve">a being who is purely, lovingly explicative. </w:t>
      </w:r>
    </w:p>
    <w:p w14:paraId="5008A540" w14:textId="26B2109B" w:rsidR="007F324E" w:rsidRDefault="004026A6">
      <w:r>
        <w:t xml:space="preserve"> </w:t>
      </w:r>
    </w:p>
    <w:p w14:paraId="0D62640D" w14:textId="044364EB" w:rsidR="004026A6" w:rsidRDefault="00E95164" w:rsidP="004026A6">
      <w:r>
        <w:lastRenderedPageBreak/>
        <w:t>W</w:t>
      </w:r>
      <w:r w:rsidR="004026A6">
        <w:t xml:space="preserve">hy does the book have this literary-philosophical form? Is it dispensable? </w:t>
      </w:r>
    </w:p>
    <w:p w14:paraId="5BD75A6D" w14:textId="1879FC36" w:rsidR="00B20E04" w:rsidRDefault="00B20E04">
      <w:r>
        <w:t xml:space="preserve">Couldn't </w:t>
      </w:r>
      <w:r w:rsidR="00C2771E">
        <w:t>Hough</w:t>
      </w:r>
      <w:r>
        <w:t xml:space="preserve"> </w:t>
      </w:r>
      <w:r w:rsidR="004026A6">
        <w:t xml:space="preserve">herself </w:t>
      </w:r>
      <w:r>
        <w:t xml:space="preserve">have done </w:t>
      </w:r>
      <w:r w:rsidR="004026A6">
        <w:t xml:space="preserve">the explicating </w:t>
      </w:r>
      <w:bookmarkStart w:id="0" w:name="_GoBack"/>
      <w:bookmarkEnd w:id="0"/>
      <w:r w:rsidR="004026A6">
        <w:t>directly?</w:t>
      </w:r>
    </w:p>
    <w:p w14:paraId="387B7D88" w14:textId="77777777" w:rsidR="004026A6" w:rsidRDefault="004026A6"/>
    <w:p w14:paraId="6FCF9BD8" w14:textId="03A1B45D" w:rsidR="00CB00A6" w:rsidRDefault="004026A6">
      <w:r>
        <w:t>Not lovingly, no.</w:t>
      </w:r>
      <w:r w:rsidR="006E46EB">
        <w:t xml:space="preserve"> One fictional character can love another</w:t>
      </w:r>
      <w:r w:rsidR="00641E72">
        <w:t>. B</w:t>
      </w:r>
      <w:r w:rsidR="006E46EB">
        <w:t xml:space="preserve">ut love across the line of fiction and creator </w:t>
      </w:r>
      <w:r>
        <w:t>would be</w:t>
      </w:r>
      <w:r w:rsidR="006E46EB">
        <w:t xml:space="preserve"> at best a</w:t>
      </w:r>
      <w:r w:rsidR="00641E72">
        <w:t xml:space="preserve"> simulacrum</w:t>
      </w:r>
      <w:r w:rsidR="00E95164">
        <w:t xml:space="preserve"> or </w:t>
      </w:r>
      <w:r w:rsidR="00641E72">
        <w:t xml:space="preserve">a metaphor. </w:t>
      </w:r>
      <w:r w:rsidR="00C5528C">
        <w:t xml:space="preserve">Exactly </w:t>
      </w:r>
      <w:r w:rsidR="00177BB1">
        <w:t xml:space="preserve">why </w:t>
      </w:r>
      <w:r w:rsidR="00C5528C">
        <w:t>is this?</w:t>
      </w:r>
      <w:r w:rsidR="00177BB1">
        <w:t xml:space="preserve"> We can admire a fictional character, or despise him</w:t>
      </w:r>
      <w:r w:rsidR="00C5528C">
        <w:t xml:space="preserve">, or worry what will happen to him next. But </w:t>
      </w:r>
      <w:r w:rsidR="00E95164">
        <w:t xml:space="preserve">can we </w:t>
      </w:r>
      <w:r w:rsidR="00C5528C">
        <w:t>fall in love with him</w:t>
      </w:r>
      <w:r w:rsidR="00E95164">
        <w:t xml:space="preserve">, as we would with someone who shares our </w:t>
      </w:r>
      <w:proofErr w:type="spellStart"/>
      <w:r w:rsidR="00E95164">
        <w:t>spatio</w:t>
      </w:r>
      <w:proofErr w:type="spellEnd"/>
      <w:r w:rsidR="00E95164">
        <w:t>-temporal world</w:t>
      </w:r>
      <w:r w:rsidR="00C5528C">
        <w:t>?</w:t>
      </w:r>
      <w:r w:rsidR="00E95164">
        <w:t xml:space="preserve"> This seems highly doubtful.</w:t>
      </w:r>
      <w:r w:rsidR="00C5528C">
        <w:t xml:space="preserve"> </w:t>
      </w:r>
      <w:r w:rsidR="00B70C1F">
        <w:t>If someone told me they were in love with Anna Karenina I'd think they were nuts.</w:t>
      </w:r>
      <w:r w:rsidR="00735F25">
        <w:rPr>
          <w:rStyle w:val="FootnoteReference"/>
        </w:rPr>
        <w:footnoteReference w:id="1"/>
      </w:r>
      <w:r w:rsidR="00B70C1F">
        <w:t xml:space="preserve"> </w:t>
      </w:r>
      <w:r w:rsidR="00454CA7">
        <w:t xml:space="preserve"> </w:t>
      </w:r>
    </w:p>
    <w:p w14:paraId="38BB0DE5" w14:textId="77777777" w:rsidR="00454CA7" w:rsidRDefault="00454CA7"/>
    <w:p w14:paraId="0B314049" w14:textId="12139544" w:rsidR="00E05EBF" w:rsidRDefault="006E46EB">
      <w:r>
        <w:t>But what if</w:t>
      </w:r>
      <w:r w:rsidR="00E05EBF">
        <w:t xml:space="preserve"> </w:t>
      </w:r>
      <w:r w:rsidR="00DF29DF">
        <w:t>Hough</w:t>
      </w:r>
      <w:r w:rsidR="00E05EBF">
        <w:t xml:space="preserve"> herself just left out the love part, and focused entirely on</w:t>
      </w:r>
      <w:r w:rsidR="004026A6">
        <w:t xml:space="preserve"> the rest of</w:t>
      </w:r>
      <w:r w:rsidR="00E05EBF">
        <w:t xml:space="preserve"> explication? Why does </w:t>
      </w:r>
      <w:r w:rsidR="004026A6">
        <w:t>a</w:t>
      </w:r>
      <w:r w:rsidR="004071C4">
        <w:t>n illuminating</w:t>
      </w:r>
      <w:r w:rsidR="004026A6">
        <w:t xml:space="preserve"> response to Kierkegaardian faith </w:t>
      </w:r>
      <w:r w:rsidR="00E05EBF">
        <w:t>have to be performed?</w:t>
      </w:r>
      <w:r w:rsidR="004026A6">
        <w:t xml:space="preserve"> </w:t>
      </w:r>
      <w:r w:rsidR="00911878">
        <w:t>The</w:t>
      </w:r>
      <w:r w:rsidR="004071C4">
        <w:t xml:space="preserve"> mere fact that it is a practical embodiment does not on its own answer this question. Philosophy and the human sciences</w:t>
      </w:r>
      <w:r w:rsidR="004026A6">
        <w:t xml:space="preserve"> have </w:t>
      </w:r>
      <w:r w:rsidR="00E95164">
        <w:t xml:space="preserve">produced </w:t>
      </w:r>
      <w:r w:rsidR="004776F3">
        <w:t>plenty</w:t>
      </w:r>
      <w:r w:rsidR="004026A6">
        <w:t xml:space="preserve"> of</w:t>
      </w:r>
      <w:r w:rsidR="004071C4">
        <w:t xml:space="preserve"> illuminating</w:t>
      </w:r>
      <w:r w:rsidR="004026A6">
        <w:t xml:space="preserve"> theor</w:t>
      </w:r>
      <w:r w:rsidR="004071C4">
        <w:t>ies of sensory-motor embodiment and</w:t>
      </w:r>
      <w:r w:rsidR="004026A6">
        <w:t xml:space="preserve"> skilled actions, </w:t>
      </w:r>
      <w:r w:rsidR="004071C4">
        <w:t xml:space="preserve">and </w:t>
      </w:r>
      <w:r w:rsidR="002F589B">
        <w:t>these theories</w:t>
      </w:r>
      <w:r w:rsidR="004071C4">
        <w:t xml:space="preserve"> tell us a lot</w:t>
      </w:r>
      <w:r w:rsidR="002F589B">
        <w:t xml:space="preserve"> without having to be performed.</w:t>
      </w:r>
      <w:r w:rsidR="004071C4">
        <w:t xml:space="preserve"> </w:t>
      </w:r>
      <w:r w:rsidR="002F589B">
        <w:t>They don’t have</w:t>
      </w:r>
      <w:r w:rsidR="004071C4">
        <w:t xml:space="preserve"> </w:t>
      </w:r>
      <w:r w:rsidR="002F589B">
        <w:t>to show up as</w:t>
      </w:r>
      <w:r w:rsidR="00454CA7">
        <w:t xml:space="preserve"> an</w:t>
      </w:r>
      <w:r w:rsidR="004026A6">
        <w:t xml:space="preserve"> interpretive or narrative dance</w:t>
      </w:r>
      <w:r w:rsidR="002F589B">
        <w:t>, for example</w:t>
      </w:r>
      <w:r w:rsidR="004026A6">
        <w:t xml:space="preserve">. Why is </w:t>
      </w:r>
      <w:r w:rsidR="004071C4">
        <w:t>the practically oriented Kierkegaardian faith any</w:t>
      </w:r>
      <w:r w:rsidR="004026A6">
        <w:t xml:space="preserve"> different, if it is?</w:t>
      </w:r>
      <w:r w:rsidR="009F2C6D">
        <w:t xml:space="preserve"> Why couldn't mere explanation capture the phenomenon?</w:t>
      </w:r>
    </w:p>
    <w:p w14:paraId="169985D5" w14:textId="77777777" w:rsidR="001952CC" w:rsidRDefault="001952CC"/>
    <w:p w14:paraId="4BEDC6C8" w14:textId="7A58E044" w:rsidR="004E7982" w:rsidRDefault="004026A6" w:rsidP="004E7982">
      <w:r>
        <w:t xml:space="preserve">I think the answer is that for Kierkegaard, </w:t>
      </w:r>
      <w:r w:rsidR="009F2C6D">
        <w:t>t</w:t>
      </w:r>
      <w:r w:rsidR="00806F00">
        <w:t>he faithful life is a practice of love</w:t>
      </w:r>
      <w:r w:rsidR="004E7982">
        <w:t xml:space="preserve">. It can only be revealed in practice, it can't be fully revealed in </w:t>
      </w:r>
      <w:r>
        <w:t>explanation</w:t>
      </w:r>
      <w:r w:rsidR="004E7982">
        <w:t>. To reveal faith, what's needed is for fait</w:t>
      </w:r>
      <w:r w:rsidR="004C0E6D">
        <w:t xml:space="preserve">h to be figured in the faithful. That's </w:t>
      </w:r>
      <w:r>
        <w:t xml:space="preserve">the role of the </w:t>
      </w:r>
      <w:r w:rsidR="002F5E0C">
        <w:t>dancing tax collector</w:t>
      </w:r>
      <w:r>
        <w:t>,</w:t>
      </w:r>
      <w:r w:rsidR="004E7982">
        <w:t xml:space="preserve"> and </w:t>
      </w:r>
      <w:r w:rsidR="004C0E6D">
        <w:t>it's also the role of SH-</w:t>
      </w:r>
      <w:proofErr w:type="spellStart"/>
      <w:r w:rsidR="004C0E6D">
        <w:t>LTC</w:t>
      </w:r>
      <w:proofErr w:type="spellEnd"/>
      <w:r w:rsidR="004C0E6D">
        <w:t xml:space="preserve"> in recognizing his practice</w:t>
      </w:r>
      <w:r w:rsidR="00DB6E97">
        <w:t>.</w:t>
      </w:r>
      <w:r w:rsidR="0085548B">
        <w:t xml:space="preserve"> If </w:t>
      </w:r>
      <w:r w:rsidR="002F5E0C">
        <w:t xml:space="preserve">the dancing tax collector </w:t>
      </w:r>
      <w:r w:rsidR="0085548B">
        <w:t>we</w:t>
      </w:r>
      <w:r w:rsidR="00360212">
        <w:t>re</w:t>
      </w:r>
      <w:r w:rsidR="0085548B">
        <w:t xml:space="preserve"> l</w:t>
      </w:r>
      <w:r w:rsidR="00DB6E97">
        <w:t xml:space="preserve">eft </w:t>
      </w:r>
      <w:r w:rsidR="00A83FCE">
        <w:t>unloved by SH-</w:t>
      </w:r>
      <w:proofErr w:type="spellStart"/>
      <w:r w:rsidR="00A83FCE">
        <w:t>LTC</w:t>
      </w:r>
      <w:proofErr w:type="spellEnd"/>
      <w:r w:rsidR="00DB6E97">
        <w:t>,</w:t>
      </w:r>
      <w:r w:rsidR="002F5E0C">
        <w:t xml:space="preserve"> </w:t>
      </w:r>
      <w:r w:rsidR="00A83FCE">
        <w:t>as</w:t>
      </w:r>
      <w:r w:rsidR="0085548B">
        <w:t xml:space="preserve"> he is</w:t>
      </w:r>
      <w:r w:rsidR="00DB6E97">
        <w:t xml:space="preserve"> in </w:t>
      </w:r>
      <w:r w:rsidR="0085548B">
        <w:t xml:space="preserve">the </w:t>
      </w:r>
      <w:r w:rsidR="00DB6E97">
        <w:t>universe</w:t>
      </w:r>
      <w:r w:rsidR="0085548B">
        <w:t xml:space="preserve"> of Kierkegaard's text</w:t>
      </w:r>
      <w:r w:rsidR="00DB6E97">
        <w:t>,</w:t>
      </w:r>
      <w:r w:rsidR="0085548B">
        <w:t xml:space="preserve"> then</w:t>
      </w:r>
      <w:r w:rsidR="00DB6E97">
        <w:t xml:space="preserve"> God would recognize </w:t>
      </w:r>
      <w:r w:rsidR="0085548B">
        <w:t>his faith</w:t>
      </w:r>
      <w:r w:rsidR="00DB6E97">
        <w:t>. But</w:t>
      </w:r>
      <w:r w:rsidR="0085548B">
        <w:t xml:space="preserve"> in </w:t>
      </w:r>
      <w:r w:rsidR="00E546D3">
        <w:t>Hough's</w:t>
      </w:r>
      <w:r w:rsidR="0085548B">
        <w:t xml:space="preserve"> book, he </w:t>
      </w:r>
      <w:proofErr w:type="gramStart"/>
      <w:r w:rsidR="0085548B">
        <w:t>i</w:t>
      </w:r>
      <w:r w:rsidR="00DB6E97">
        <w:t xml:space="preserve">s </w:t>
      </w:r>
      <w:r w:rsidR="002F5E0C">
        <w:t xml:space="preserve"> </w:t>
      </w:r>
      <w:r w:rsidR="00E546D3">
        <w:t>part</w:t>
      </w:r>
      <w:proofErr w:type="gramEnd"/>
      <w:r w:rsidR="00E546D3">
        <w:t xml:space="preserve"> of</w:t>
      </w:r>
      <w:r w:rsidR="00DB6E97">
        <w:t xml:space="preserve"> </w:t>
      </w:r>
      <w:r w:rsidR="00E546D3">
        <w:t xml:space="preserve">Hough's </w:t>
      </w:r>
      <w:r w:rsidR="00DB6E97">
        <w:t xml:space="preserve">narrative </w:t>
      </w:r>
      <w:r w:rsidR="0085548B">
        <w:t>device</w:t>
      </w:r>
      <w:r w:rsidR="00E546D3">
        <w:t>, on loan from Kierkegaard</w:t>
      </w:r>
      <w:r w:rsidR="00DB6E97">
        <w:t>. For him to shine</w:t>
      </w:r>
      <w:r w:rsidR="005D529C">
        <w:t xml:space="preserve"> through</w:t>
      </w:r>
      <w:r w:rsidR="00E546D3">
        <w:t xml:space="preserve"> to Hough's readers</w:t>
      </w:r>
      <w:r w:rsidR="00DB6E97">
        <w:t>, he needs the light of SH-</w:t>
      </w:r>
      <w:proofErr w:type="spellStart"/>
      <w:r w:rsidR="00DB6E97">
        <w:t>LTC</w:t>
      </w:r>
      <w:proofErr w:type="spellEnd"/>
      <w:r w:rsidR="00DB6E97">
        <w:t>. Someone is needed to love the</w:t>
      </w:r>
      <w:r w:rsidR="00E546D3">
        <w:t xml:space="preserve"> knight</w:t>
      </w:r>
      <w:r w:rsidR="00DB6E97">
        <w:t xml:space="preserve"> of faith</w:t>
      </w:r>
      <w:r w:rsidR="00360212">
        <w:t xml:space="preserve"> </w:t>
      </w:r>
      <w:r w:rsidR="00156ADE">
        <w:t>for him to become illuminated</w:t>
      </w:r>
      <w:r w:rsidR="00DB6E97">
        <w:t xml:space="preserve">. That </w:t>
      </w:r>
      <w:r w:rsidR="004E7982">
        <w:t>is the role of SH-</w:t>
      </w:r>
      <w:proofErr w:type="spellStart"/>
      <w:r w:rsidR="004E7982">
        <w:t>LTC</w:t>
      </w:r>
      <w:proofErr w:type="spellEnd"/>
      <w:r w:rsidR="004E7982">
        <w:t>, the explicator.</w:t>
      </w:r>
    </w:p>
    <w:p w14:paraId="67ABA4D3" w14:textId="77777777" w:rsidR="00E05EBF" w:rsidRDefault="00E05EBF"/>
    <w:p w14:paraId="4859609A" w14:textId="4B43530C" w:rsidR="004E7982" w:rsidRDefault="00360212" w:rsidP="004E7982">
      <w:r>
        <w:t>But here</w:t>
      </w:r>
      <w:r w:rsidR="00B346C0">
        <w:t xml:space="preserve"> another question</w:t>
      </w:r>
      <w:r>
        <w:t xml:space="preserve"> arises for the authorial </w:t>
      </w:r>
      <w:r w:rsidR="00B63623">
        <w:t>trio</w:t>
      </w:r>
      <w:r>
        <w:t xml:space="preserve"> </w:t>
      </w:r>
      <w:r w:rsidR="00A83FCE">
        <w:t xml:space="preserve">of </w:t>
      </w:r>
      <w:r w:rsidR="002A6960">
        <w:t>Hough, SH-</w:t>
      </w:r>
      <w:proofErr w:type="spellStart"/>
      <w:r w:rsidR="002A6960">
        <w:t>LTC</w:t>
      </w:r>
      <w:proofErr w:type="spellEnd"/>
      <w:r w:rsidR="002A6960">
        <w:t>, Kierkegaard</w:t>
      </w:r>
      <w:r w:rsidR="00B346C0">
        <w:t>.</w:t>
      </w:r>
      <w:r w:rsidR="00B63623">
        <w:rPr>
          <w:rStyle w:val="FootnoteReference"/>
        </w:rPr>
        <w:footnoteReference w:id="2"/>
      </w:r>
      <w:r w:rsidR="00A83FCE">
        <w:t xml:space="preserve"> </w:t>
      </w:r>
      <w:r w:rsidR="00B346C0">
        <w:t>D</w:t>
      </w:r>
      <w:r w:rsidR="004E7982">
        <w:t>oesn't love require silence?</w:t>
      </w:r>
      <w:r w:rsidR="00156ADE">
        <w:t xml:space="preserve"> </w:t>
      </w:r>
      <w:r>
        <w:t>Don't</w:t>
      </w:r>
      <w:r w:rsidR="002A6960">
        <w:t xml:space="preserve"> the </w:t>
      </w:r>
      <w:r w:rsidR="00A83FCE">
        <w:t>four</w:t>
      </w:r>
      <w:r w:rsidR="002A6960">
        <w:t xml:space="preserve"> of them all</w:t>
      </w:r>
      <w:r w:rsidR="00B346C0">
        <w:t xml:space="preserve"> agree that it does, given how </w:t>
      </w:r>
      <w:r w:rsidR="002A6960">
        <w:t>love</w:t>
      </w:r>
      <w:r w:rsidR="00B346C0">
        <w:t xml:space="preserve"> simultaneously</w:t>
      </w:r>
      <w:r w:rsidR="00F24C22">
        <w:t xml:space="preserve"> shapes the silently</w:t>
      </w:r>
      <w:r w:rsidR="00B346C0">
        <w:t xml:space="preserve"> inward </w:t>
      </w:r>
      <w:r w:rsidR="00F24C22">
        <w:t>and the</w:t>
      </w:r>
      <w:r w:rsidR="00B346C0">
        <w:t xml:space="preserve"> inter</w:t>
      </w:r>
      <w:r w:rsidR="00B70338">
        <w:t>-</w:t>
      </w:r>
      <w:r w:rsidR="00B346C0">
        <w:t>subjective part</w:t>
      </w:r>
      <w:r w:rsidR="00F24C22">
        <w:t>s</w:t>
      </w:r>
      <w:r w:rsidR="00B346C0">
        <w:t xml:space="preserve"> of existence? </w:t>
      </w:r>
      <w:r w:rsidR="004E7982">
        <w:t xml:space="preserve"> </w:t>
      </w:r>
      <w:r w:rsidR="002A6960">
        <w:t>And yet</w:t>
      </w:r>
      <w:r w:rsidR="004E7982">
        <w:t xml:space="preserve"> </w:t>
      </w:r>
      <w:r w:rsidR="00641E72">
        <w:t>it is</w:t>
      </w:r>
      <w:r w:rsidR="004E7982">
        <w:t xml:space="preserve"> logically impossible for SH-</w:t>
      </w:r>
      <w:proofErr w:type="spellStart"/>
      <w:r w:rsidR="004E7982">
        <w:t>LTC</w:t>
      </w:r>
      <w:proofErr w:type="spellEnd"/>
      <w:r w:rsidR="004E7982">
        <w:t xml:space="preserve"> to be </w:t>
      </w:r>
      <w:r w:rsidR="004E7982">
        <w:lastRenderedPageBreak/>
        <w:t xml:space="preserve">silent. She </w:t>
      </w:r>
      <w:r w:rsidR="00B346C0">
        <w:t xml:space="preserve">literally </w:t>
      </w:r>
      <w:r w:rsidR="004E7982">
        <w:t xml:space="preserve">exists only </w:t>
      </w:r>
      <w:r w:rsidR="00D834F8">
        <w:t>on the page, between the beautifully painted covers of this book.</w:t>
      </w:r>
      <w:r w:rsidR="00A83FCE">
        <w:t xml:space="preserve">  </w:t>
      </w:r>
    </w:p>
    <w:p w14:paraId="40599942" w14:textId="36EBD3A5" w:rsidR="004E7982" w:rsidRDefault="00B346C0">
      <w:r>
        <w:t xml:space="preserve"> </w:t>
      </w:r>
    </w:p>
    <w:p w14:paraId="27DBD5CE" w14:textId="3634FC0A" w:rsidR="004E7982" w:rsidRDefault="004E7982">
      <w:r>
        <w:t xml:space="preserve">I </w:t>
      </w:r>
      <w:r w:rsidR="00D834F8">
        <w:t>can think of</w:t>
      </w:r>
      <w:r>
        <w:t xml:space="preserve"> two answers here.</w:t>
      </w:r>
      <w:r w:rsidR="00F43ABB">
        <w:t xml:space="preserve"> </w:t>
      </w:r>
      <w:r w:rsidR="00D834F8">
        <w:t>Perhaps they're both wrong, but if either is correct, it wouldn't stop the other from being correct as well.</w:t>
      </w:r>
    </w:p>
    <w:p w14:paraId="0B5CC02B" w14:textId="77777777" w:rsidR="004E7982" w:rsidRDefault="004E7982"/>
    <w:p w14:paraId="1CDD2B4B" w14:textId="380BF5FC" w:rsidR="004E7982" w:rsidRDefault="004E7982">
      <w:r>
        <w:t>A</w:t>
      </w:r>
      <w:r w:rsidR="00B346C0">
        <w:t xml:space="preserve">nswer </w:t>
      </w:r>
      <w:r>
        <w:t>1. SH-</w:t>
      </w:r>
      <w:proofErr w:type="spellStart"/>
      <w:r>
        <w:t>LTC</w:t>
      </w:r>
      <w:proofErr w:type="spellEnd"/>
      <w:r>
        <w:t xml:space="preserve"> </w:t>
      </w:r>
      <w:r w:rsidR="00904F65">
        <w:t>actually has her own silences. They are evident in</w:t>
      </w:r>
      <w:r w:rsidR="00A83FCE">
        <w:t xml:space="preserve"> </w:t>
      </w:r>
      <w:r w:rsidR="00AA0F7D">
        <w:t>the</w:t>
      </w:r>
      <w:r w:rsidR="00A83FCE">
        <w:t xml:space="preserve"> many</w:t>
      </w:r>
      <w:r w:rsidR="00AA0F7D">
        <w:t xml:space="preserve"> things about </w:t>
      </w:r>
      <w:r w:rsidR="00A83FCE">
        <w:t xml:space="preserve">the dancing tax collector </w:t>
      </w:r>
      <w:r w:rsidR="00AA0F7D">
        <w:t>she doesn't say, but can be presumed to feel</w:t>
      </w:r>
      <w:r w:rsidR="00765E34">
        <w:t xml:space="preserve"> inwardly</w:t>
      </w:r>
      <w:r w:rsidR="00AA0F7D">
        <w:t>. S</w:t>
      </w:r>
      <w:r w:rsidR="00492B44">
        <w:t xml:space="preserve">ilences are </w:t>
      </w:r>
      <w:r w:rsidR="00AA0F7D">
        <w:t>not out of bounds for fictional characters</w:t>
      </w:r>
      <w:r w:rsidR="00492B44">
        <w:t xml:space="preserve"> - think of all the fictional jerks who forget their partner's birthdays</w:t>
      </w:r>
      <w:r w:rsidR="00A83FCE">
        <w:t xml:space="preserve"> and </w:t>
      </w:r>
      <w:r w:rsidR="00492B44">
        <w:t xml:space="preserve">can't even remember their favorite type of jam! </w:t>
      </w:r>
    </w:p>
    <w:p w14:paraId="0044DA16" w14:textId="77777777" w:rsidR="004E7982" w:rsidRDefault="004E7982"/>
    <w:p w14:paraId="4C796571" w14:textId="355A8C49" w:rsidR="00E05EBF" w:rsidRDefault="004E7982">
      <w:r>
        <w:t>A</w:t>
      </w:r>
      <w:r w:rsidR="00B70338">
        <w:t xml:space="preserve">nswer </w:t>
      </w:r>
      <w:r>
        <w:t>2. SH-</w:t>
      </w:r>
      <w:proofErr w:type="spellStart"/>
      <w:r>
        <w:t>LTC</w:t>
      </w:r>
      <w:proofErr w:type="spellEnd"/>
      <w:r>
        <w:t xml:space="preserve"> is </w:t>
      </w:r>
      <w:r w:rsidR="007F2F52">
        <w:t>metaphys</w:t>
      </w:r>
      <w:r w:rsidR="002E6352">
        <w:t>ica</w:t>
      </w:r>
      <w:r w:rsidR="007F2F52">
        <w:t xml:space="preserve">lly dependent on </w:t>
      </w:r>
      <w:r w:rsidR="00C63374">
        <w:t>Hough</w:t>
      </w:r>
      <w:r w:rsidR="00B70338">
        <w:t xml:space="preserve"> - </w:t>
      </w:r>
      <w:r w:rsidR="007F2F52">
        <w:t>as any fictional character is on the author</w:t>
      </w:r>
      <w:r w:rsidR="00C63374">
        <w:t>.</w:t>
      </w:r>
      <w:r w:rsidR="00B70338">
        <w:rPr>
          <w:rStyle w:val="FootnoteReference"/>
        </w:rPr>
        <w:footnoteReference w:id="3"/>
      </w:r>
      <w:r w:rsidR="00B70338">
        <w:t xml:space="preserve"> </w:t>
      </w:r>
      <w:r w:rsidR="006B0F97">
        <w:t>So the lover</w:t>
      </w:r>
      <w:r w:rsidR="00F43ABB">
        <w:t xml:space="preserve"> of </w:t>
      </w:r>
      <w:r w:rsidR="00A83FCE">
        <w:t xml:space="preserve">the dancing tax collector </w:t>
      </w:r>
      <w:r w:rsidR="006B0F97">
        <w:t>is</w:t>
      </w:r>
      <w:r w:rsidR="00F43ABB">
        <w:t xml:space="preserve"> actually</w:t>
      </w:r>
      <w:r w:rsidR="006B0F97">
        <w:t xml:space="preserve"> a metaphysical complex of </w:t>
      </w:r>
      <w:r w:rsidR="00C63374">
        <w:t>Hough</w:t>
      </w:r>
      <w:r w:rsidR="006B0F97">
        <w:t xml:space="preserve"> </w:t>
      </w:r>
      <w:r w:rsidR="00C63374">
        <w:t>and SH-</w:t>
      </w:r>
      <w:proofErr w:type="spellStart"/>
      <w:r w:rsidR="00C63374">
        <w:t>LTC</w:t>
      </w:r>
      <w:proofErr w:type="spellEnd"/>
      <w:r w:rsidR="00C63374">
        <w:t>, but in this explicative complex, SH-</w:t>
      </w:r>
      <w:proofErr w:type="spellStart"/>
      <w:r w:rsidR="00C63374">
        <w:t>LTC</w:t>
      </w:r>
      <w:proofErr w:type="spellEnd"/>
      <w:r w:rsidR="00C63374">
        <w:t xml:space="preserve"> does all the talking.</w:t>
      </w:r>
      <w:r w:rsidR="006B0F97">
        <w:t xml:space="preserve"> </w:t>
      </w:r>
      <w:r w:rsidR="00C63374">
        <w:t>Hough</w:t>
      </w:r>
      <w:r w:rsidR="006B0F97">
        <w:t xml:space="preserve"> herself is </w:t>
      </w:r>
      <w:r w:rsidR="00641E72">
        <w:t>silent</w:t>
      </w:r>
      <w:r w:rsidR="006B0F97">
        <w:t xml:space="preserve">. She speaks to us only in </w:t>
      </w:r>
      <w:r w:rsidR="00641E72">
        <w:t>the</w:t>
      </w:r>
      <w:r w:rsidR="009C104E">
        <w:t xml:space="preserve"> part of the book she narrates, the</w:t>
      </w:r>
      <w:r w:rsidR="00641E72">
        <w:t xml:space="preserve"> First and Last Explanation</w:t>
      </w:r>
      <w:r w:rsidR="00AF276E">
        <w:t>, which is a meta-explanation of the explication of practical faith</w:t>
      </w:r>
      <w:r w:rsidR="00A83FCE">
        <w:t xml:space="preserve"> -</w:t>
      </w:r>
      <w:r w:rsidR="00AF276E">
        <w:t xml:space="preserve"> not strictly part of the explication.</w:t>
      </w:r>
    </w:p>
    <w:p w14:paraId="0868D9D5" w14:textId="77777777" w:rsidR="006E46EB" w:rsidRDefault="006E46EB"/>
    <w:p w14:paraId="77CC0328" w14:textId="3F802A6E" w:rsidR="00641E72" w:rsidRDefault="00EB3AED">
      <w:r>
        <w:t>These co</w:t>
      </w:r>
      <w:r w:rsidR="00341AC8">
        <w:t>nsiderations suggest to me that</w:t>
      </w:r>
      <w:r w:rsidR="00641E72">
        <w:t xml:space="preserve"> to reveal Kierkegaard's picture of faith,</w:t>
      </w:r>
      <w:r w:rsidR="006E46EB">
        <w:t xml:space="preserve"> </w:t>
      </w:r>
      <w:r w:rsidR="00341AC8">
        <w:t>Hough</w:t>
      </w:r>
      <w:r w:rsidR="006E46EB">
        <w:t xml:space="preserve"> was forced into creating SH-</w:t>
      </w:r>
      <w:proofErr w:type="spellStart"/>
      <w:r w:rsidR="006E46EB">
        <w:t>LTC</w:t>
      </w:r>
      <w:proofErr w:type="spellEnd"/>
      <w:r w:rsidR="006E46EB">
        <w:t>.</w:t>
      </w:r>
      <w:r>
        <w:t xml:space="preserve"> There was no way around it. </w:t>
      </w:r>
      <w:r w:rsidR="00641E72">
        <w:t xml:space="preserve">The book is </w:t>
      </w:r>
      <w:r w:rsidR="00992FC2">
        <w:t xml:space="preserve">therefore </w:t>
      </w:r>
      <w:r w:rsidR="00641E72">
        <w:t>not 'playful' or 'whimsical'. It has b</w:t>
      </w:r>
      <w:r w:rsidR="004F7431">
        <w:t xml:space="preserve">een called </w:t>
      </w:r>
      <w:r w:rsidR="005B6354">
        <w:t>such</w:t>
      </w:r>
      <w:r w:rsidR="004F7431">
        <w:t xml:space="preserve"> things</w:t>
      </w:r>
      <w:r w:rsidR="00AB078A">
        <w:t>,</w:t>
      </w:r>
      <w:r w:rsidR="004F7431">
        <w:t xml:space="preserve"> but tho</w:t>
      </w:r>
      <w:r w:rsidR="00641E72">
        <w:t>se adjectives</w:t>
      </w:r>
      <w:r w:rsidR="007105B2">
        <w:t xml:space="preserve"> at best</w:t>
      </w:r>
      <w:r w:rsidR="00641E72">
        <w:t xml:space="preserve"> are misleading</w:t>
      </w:r>
      <w:r w:rsidR="007105B2">
        <w:t>.</w:t>
      </w:r>
      <w:r w:rsidR="00AB078A">
        <w:rPr>
          <w:rStyle w:val="FootnoteReference"/>
        </w:rPr>
        <w:footnoteReference w:id="4"/>
      </w:r>
      <w:r w:rsidR="007105B2">
        <w:t xml:space="preserve"> I'd go farther</w:t>
      </w:r>
      <w:r w:rsidR="00641E72">
        <w:t xml:space="preserve"> and say that </w:t>
      </w:r>
      <w:r w:rsidR="007105B2">
        <w:t>such</w:t>
      </w:r>
      <w:r w:rsidR="00641E72">
        <w:t xml:space="preserve"> descriptions </w:t>
      </w:r>
      <w:r w:rsidR="007105B2">
        <w:t xml:space="preserve">of the book </w:t>
      </w:r>
      <w:r w:rsidR="00AB078A">
        <w:t>are</w:t>
      </w:r>
      <w:r w:rsidR="00641E72">
        <w:t xml:space="preserve"> false. </w:t>
      </w:r>
      <w:r w:rsidR="00AB078A">
        <w:t xml:space="preserve">Playfulness </w:t>
      </w:r>
      <w:r w:rsidR="00D54CE1">
        <w:t>or whimsy would be</w:t>
      </w:r>
      <w:r w:rsidR="00AB078A">
        <w:t xml:space="preserve"> contingent guise</w:t>
      </w:r>
      <w:r w:rsidR="00D54CE1">
        <w:t>s</w:t>
      </w:r>
      <w:r w:rsidR="00AB078A">
        <w:t xml:space="preserve"> under which Kierkegaard's serious picture of faith was presented. </w:t>
      </w:r>
      <w:r w:rsidR="006D779C">
        <w:t>The</w:t>
      </w:r>
      <w:r w:rsidR="00D04D63">
        <w:t xml:space="preserve"> f</w:t>
      </w:r>
      <w:r>
        <w:t xml:space="preserve">eature of the book that elicits </w:t>
      </w:r>
      <w:r w:rsidR="00AB078A">
        <w:t>these</w:t>
      </w:r>
      <w:r w:rsidR="00D04D63">
        <w:t xml:space="preserve"> description</w:t>
      </w:r>
      <w:r w:rsidR="00AB078A">
        <w:t>s</w:t>
      </w:r>
      <w:r w:rsidR="00D04D63">
        <w:t xml:space="preserve"> is its structuring </w:t>
      </w:r>
      <w:r w:rsidR="006D779C">
        <w:t>by an avowedly lovi</w:t>
      </w:r>
      <w:r w:rsidR="00C75E42">
        <w:t xml:space="preserve">ng narrator distinct from Hough. </w:t>
      </w:r>
      <w:r w:rsidR="00D04D63">
        <w:t xml:space="preserve">And this feature is not dispensable. </w:t>
      </w:r>
      <w:r>
        <w:t xml:space="preserve">Given </w:t>
      </w:r>
      <w:r w:rsidR="00AB078A">
        <w:t>that its focus is the</w:t>
      </w:r>
      <w:r>
        <w:t xml:space="preserve"> practical nature of Kierkegaardian faith, </w:t>
      </w:r>
      <w:r w:rsidR="00D44F15">
        <w:t>the book needs to have this structure</w:t>
      </w:r>
      <w:r w:rsidR="00AB078A">
        <w:t xml:space="preserve"> to do full justice to its subject-matter.</w:t>
      </w:r>
    </w:p>
    <w:p w14:paraId="4405ADDC" w14:textId="77777777" w:rsidR="00FE4E18" w:rsidRDefault="00FE4E18"/>
    <w:p w14:paraId="021998D9" w14:textId="77777777" w:rsidR="006E46EB" w:rsidRDefault="006E46EB"/>
    <w:p w14:paraId="4C64A4E0" w14:textId="0A78CD39" w:rsidR="00482E7E" w:rsidRPr="00FE4E18" w:rsidRDefault="00E742C3">
      <w:pPr>
        <w:rPr>
          <w:b/>
        </w:rPr>
      </w:pPr>
      <w:r>
        <w:rPr>
          <w:b/>
        </w:rPr>
        <w:t xml:space="preserve">2. </w:t>
      </w:r>
      <w:r w:rsidR="004A797C">
        <w:rPr>
          <w:b/>
        </w:rPr>
        <w:t>Faith</w:t>
      </w:r>
      <w:r w:rsidR="004D761C" w:rsidRPr="00E742C3">
        <w:rPr>
          <w:b/>
        </w:rPr>
        <w:t xml:space="preserve"> </w:t>
      </w:r>
    </w:p>
    <w:p w14:paraId="3A4114FE" w14:textId="478940F4" w:rsidR="005C7AFD" w:rsidRDefault="0086054D" w:rsidP="005C7AFD">
      <w:r>
        <w:t>Faith is practical, says SH-</w:t>
      </w:r>
      <w:proofErr w:type="spellStart"/>
      <w:r>
        <w:t>LTC</w:t>
      </w:r>
      <w:proofErr w:type="spellEnd"/>
      <w:r>
        <w:t>. It</w:t>
      </w:r>
      <w:r w:rsidR="00B073F0">
        <w:t xml:space="preserve"> is enacted.</w:t>
      </w:r>
      <w:r w:rsidR="005C7AFD">
        <w:t xml:space="preserve"> </w:t>
      </w:r>
      <w:r>
        <w:t xml:space="preserve">These characterizations rule out that faith is exhausted by a kind of belief. </w:t>
      </w:r>
      <w:r w:rsidR="005C7AFD">
        <w:t xml:space="preserve">"Faith is a doing, and not a thought about what one does," she writes (p. 124). </w:t>
      </w:r>
    </w:p>
    <w:p w14:paraId="01EC0D0E" w14:textId="77777777" w:rsidR="00124B14" w:rsidRDefault="00124B14" w:rsidP="005C7AFD"/>
    <w:p w14:paraId="1FD3017A" w14:textId="65891A0E" w:rsidR="00426A48" w:rsidRDefault="00124B14" w:rsidP="005C7AFD">
      <w:r>
        <w:t>But what kind of enactment is faith</w:t>
      </w:r>
      <w:r w:rsidR="004A797C">
        <w:t>? It is depicted in two contexts:</w:t>
      </w:r>
      <w:r>
        <w:t xml:space="preserve"> </w:t>
      </w:r>
      <w:r w:rsidR="004A797C">
        <w:t xml:space="preserve">in </w:t>
      </w:r>
      <w:r w:rsidR="00150929">
        <w:t>the dancing tax collector’s</w:t>
      </w:r>
      <w:r>
        <w:t xml:space="preserve"> joy</w:t>
      </w:r>
      <w:r w:rsidR="00354F7D">
        <w:t>ful</w:t>
      </w:r>
      <w:r>
        <w:t xml:space="preserve"> perception of the sublime in the pedestrian (9), </w:t>
      </w:r>
      <w:r w:rsidR="004A797C">
        <w:t>and in the</w:t>
      </w:r>
      <w:r w:rsidR="007B13A9">
        <w:t xml:space="preserve"> responses of those who </w:t>
      </w:r>
      <w:r w:rsidR="00E824AE">
        <w:t xml:space="preserve">have been </w:t>
      </w:r>
      <w:r w:rsidR="00AE64AC">
        <w:t xml:space="preserve">held </w:t>
      </w:r>
      <w:r w:rsidR="00FC4525">
        <w:t xml:space="preserve">at the mercy of </w:t>
      </w:r>
      <w:r w:rsidR="00BF3460">
        <w:t>human horror</w:t>
      </w:r>
      <w:r w:rsidR="007B13A9">
        <w:t xml:space="preserve">. </w:t>
      </w:r>
      <w:r w:rsidR="00B31FDC">
        <w:t>Just as we shouldn't characterize faith as a belief, we shouldn't characterize it as any other mental state, either</w:t>
      </w:r>
      <w:r w:rsidR="00CB37BB">
        <w:t xml:space="preserve">. It is </w:t>
      </w:r>
      <w:r w:rsidR="00B31FDC">
        <w:t>not an emotion per se</w:t>
      </w:r>
      <w:r w:rsidR="00864360">
        <w:t xml:space="preserve"> - </w:t>
      </w:r>
      <w:r w:rsidR="00B31FDC">
        <w:t>not even joy</w:t>
      </w:r>
      <w:r w:rsidR="00864360">
        <w:t>. It</w:t>
      </w:r>
      <w:r w:rsidR="00B31FDC">
        <w:t xml:space="preserve"> not a form of hope, </w:t>
      </w:r>
      <w:r w:rsidR="00864360">
        <w:t xml:space="preserve">and </w:t>
      </w:r>
      <w:r w:rsidR="00B31FDC">
        <w:t xml:space="preserve">not a thought.  Faith is a response to a situation that precedes it.  </w:t>
      </w:r>
    </w:p>
    <w:p w14:paraId="3F255A32" w14:textId="00FF8267" w:rsidR="00336D4A" w:rsidRDefault="00336D4A" w:rsidP="005C7AFD"/>
    <w:p w14:paraId="464CFD7B" w14:textId="695B5D94" w:rsidR="00B31FDC" w:rsidRDefault="00AA52CD" w:rsidP="00B31FDC">
      <w:r>
        <w:t>SH-</w:t>
      </w:r>
      <w:proofErr w:type="spellStart"/>
      <w:r>
        <w:t>LTC</w:t>
      </w:r>
      <w:proofErr w:type="spellEnd"/>
      <w:r>
        <w:t xml:space="preserve"> </w:t>
      </w:r>
      <w:r w:rsidR="004C2F97">
        <w:t>clears up one thing right away:</w:t>
      </w:r>
      <w:r w:rsidR="00864360">
        <w:t xml:space="preserve"> even though the dancing tax collector is both joyful and an exemplar of faithful practice, j</w:t>
      </w:r>
      <w:r w:rsidR="009A3150">
        <w:t>oy is not a fitting response to horror, and Kierkegaard never</w:t>
      </w:r>
      <w:r w:rsidR="004C2F97">
        <w:t xml:space="preserve"> said</w:t>
      </w:r>
      <w:r w:rsidR="009A3150">
        <w:t xml:space="preserve"> it was. (Or at least, he sometimes </w:t>
      </w:r>
      <w:r w:rsidR="004C2F97">
        <w:t>makes clear that he knows</w:t>
      </w:r>
      <w:r w:rsidR="009A3150">
        <w:t xml:space="preserve"> it isn't).</w:t>
      </w:r>
      <w:r w:rsidR="008B63B0">
        <w:rPr>
          <w:rStyle w:val="FootnoteReference"/>
        </w:rPr>
        <w:footnoteReference w:id="5"/>
      </w:r>
      <w:r w:rsidR="009A3150">
        <w:t xml:space="preserve"> </w:t>
      </w:r>
    </w:p>
    <w:p w14:paraId="67DF6289" w14:textId="77777777" w:rsidR="00B31FDC" w:rsidRDefault="00B31FDC" w:rsidP="00B31FDC"/>
    <w:p w14:paraId="15F5630C" w14:textId="77777777" w:rsidR="00C73934" w:rsidRDefault="004800BB" w:rsidP="00426A48">
      <w:proofErr w:type="gramStart"/>
      <w:r>
        <w:t>So</w:t>
      </w:r>
      <w:proofErr w:type="gramEnd"/>
      <w:r>
        <w:t xml:space="preserve"> what is it to respond</w:t>
      </w:r>
      <w:r w:rsidR="00426A48">
        <w:t xml:space="preserve"> faithful</w:t>
      </w:r>
      <w:r>
        <w:t>ly</w:t>
      </w:r>
      <w:r w:rsidR="00426A48">
        <w:t xml:space="preserve"> to catastrophe? "It is often heard from those who have endured terrible trauma and loss: objectively it was impossible to survive but 'somehow' tha</w:t>
      </w:r>
      <w:r w:rsidR="00E60C25">
        <w:t>t person managed to keep going</w:t>
      </w:r>
      <w:r>
        <w:t>,</w:t>
      </w:r>
      <w:r w:rsidR="00E60C25">
        <w:t>"</w:t>
      </w:r>
      <w:r>
        <w:t xml:space="preserve"> SH-</w:t>
      </w:r>
      <w:proofErr w:type="spellStart"/>
      <w:r>
        <w:t>LTC</w:t>
      </w:r>
      <w:proofErr w:type="spellEnd"/>
      <w:r>
        <w:t xml:space="preserve"> writes</w:t>
      </w:r>
      <w:r w:rsidR="00D54CE1">
        <w:t>, in emphasizing that the status as faithful i</w:t>
      </w:r>
      <w:r w:rsidR="00ED32FD">
        <w:t>s found in the subjective realm</w:t>
      </w:r>
      <w:r w:rsidR="00D54CE1">
        <w:t>.</w:t>
      </w:r>
      <w:r w:rsidR="00E60C25">
        <w:t xml:space="preserve"> (125). </w:t>
      </w:r>
      <w:r w:rsidR="006165DF">
        <w:t xml:space="preserve"> </w:t>
      </w:r>
    </w:p>
    <w:p w14:paraId="5DAA8348" w14:textId="77777777" w:rsidR="00C73934" w:rsidRDefault="00C73934" w:rsidP="00426A48"/>
    <w:p w14:paraId="55195A92" w14:textId="717B396C" w:rsidR="00B5669C" w:rsidRDefault="006165DF" w:rsidP="00426A48">
      <w:r>
        <w:t xml:space="preserve">Is </w:t>
      </w:r>
      <w:r w:rsidR="00036702">
        <w:t xml:space="preserve">merely </w:t>
      </w:r>
      <w:r>
        <w:t>enduring human horror</w:t>
      </w:r>
      <w:r w:rsidR="00036702">
        <w:t xml:space="preserve"> by </w:t>
      </w:r>
      <w:r>
        <w:t xml:space="preserve">"putting one foot in front of the other" </w:t>
      </w:r>
      <w:r w:rsidR="00036702">
        <w:t>sufficient for faith?</w:t>
      </w:r>
      <w:r w:rsidR="00B5669C">
        <w:t xml:space="preserve"> If it is, then anyone who survives catastrophe </w:t>
      </w:r>
      <w:r w:rsidR="004800BB">
        <w:t>(resisting any urge to</w:t>
      </w:r>
      <w:r w:rsidR="00B5669C">
        <w:t xml:space="preserve"> </w:t>
      </w:r>
      <w:r w:rsidR="004800BB">
        <w:t>end</w:t>
      </w:r>
      <w:r w:rsidR="00B5669C">
        <w:t xml:space="preserve"> their own existence</w:t>
      </w:r>
      <w:r w:rsidR="004800BB">
        <w:t>) thereby</w:t>
      </w:r>
      <w:r w:rsidR="00B5669C">
        <w:t xml:space="preserve"> moves faithfully through it. </w:t>
      </w:r>
      <w:r w:rsidR="00C35BC5">
        <w:t>On this picture, h</w:t>
      </w:r>
      <w:r w:rsidR="00B5669C">
        <w:t xml:space="preserve">owever awful the loss might be, so long as you don't </w:t>
      </w:r>
      <w:proofErr w:type="spellStart"/>
      <w:r w:rsidR="00B5669C">
        <w:t>hurl</w:t>
      </w:r>
      <w:proofErr w:type="spellEnd"/>
      <w:r w:rsidR="00B5669C">
        <w:t xml:space="preserve"> yourself into eternity, </w:t>
      </w:r>
      <w:r w:rsidR="00C35BC5">
        <w:t>you are faithful. There are then a great many faithful who may n</w:t>
      </w:r>
      <w:r w:rsidR="004800BB">
        <w:t xml:space="preserve">ot recognize themselves as such </w:t>
      </w:r>
      <w:proofErr w:type="gramStart"/>
      <w:r w:rsidR="004800BB">
        <w:t xml:space="preserve">- </w:t>
      </w:r>
      <w:r w:rsidR="00C35BC5">
        <w:t xml:space="preserve"> even</w:t>
      </w:r>
      <w:proofErr w:type="gramEnd"/>
      <w:r w:rsidR="00C35BC5">
        <w:t xml:space="preserve"> if the rest of the time, they are colorless and bland, and would never dance to the scurry of rats.</w:t>
      </w:r>
    </w:p>
    <w:p w14:paraId="4E401436" w14:textId="77777777" w:rsidR="00B5669C" w:rsidRDefault="00B5669C" w:rsidP="00426A48"/>
    <w:p w14:paraId="3BA7BBC3" w14:textId="083CB2CC" w:rsidR="00EF4EC9" w:rsidRDefault="00C35BC5" w:rsidP="00426A48">
      <w:r>
        <w:t>SH-</w:t>
      </w:r>
      <w:proofErr w:type="spellStart"/>
      <w:r>
        <w:t>LTC</w:t>
      </w:r>
      <w:proofErr w:type="spellEnd"/>
      <w:r>
        <w:t xml:space="preserve"> rejects this picture. Faith requires more. When people say that </w:t>
      </w:r>
      <w:proofErr w:type="gramStart"/>
      <w:r>
        <w:t>som</w:t>
      </w:r>
      <w:r w:rsidR="004800BB">
        <w:t>ehow</w:t>
      </w:r>
      <w:proofErr w:type="gramEnd"/>
      <w:r w:rsidR="004800BB">
        <w:t xml:space="preserve"> they managed to carry on, </w:t>
      </w:r>
      <w:r>
        <w:t>"their reports can sound like numb endurance</w:t>
      </w:r>
      <w:r w:rsidR="004800BB">
        <w:t>", whereas "faith", says SH-</w:t>
      </w:r>
      <w:proofErr w:type="spellStart"/>
      <w:r w:rsidR="004800BB">
        <w:t>LTC</w:t>
      </w:r>
      <w:proofErr w:type="spellEnd"/>
      <w:r w:rsidR="004800BB">
        <w:t>, "</w:t>
      </w:r>
      <w:r>
        <w:t xml:space="preserve">is inherently joyful." (125). </w:t>
      </w:r>
      <w:r w:rsidR="00EF4EC9">
        <w:t>But if you can't fittingly feel joy in response to catastrophe, how can you move faithfully through it?</w:t>
      </w:r>
      <w:r w:rsidR="00B5669C">
        <w:t xml:space="preserve"> </w:t>
      </w:r>
    </w:p>
    <w:p w14:paraId="1BA3EAB8" w14:textId="77777777" w:rsidR="00336D4A" w:rsidRDefault="00336D4A" w:rsidP="00426A48"/>
    <w:p w14:paraId="4579932D" w14:textId="640FEDF4" w:rsidR="00336D4A" w:rsidRDefault="00336D4A" w:rsidP="00336D4A">
      <w:r>
        <w:t>I think SH-</w:t>
      </w:r>
      <w:proofErr w:type="spellStart"/>
      <w:r>
        <w:t>LTC’s</w:t>
      </w:r>
      <w:proofErr w:type="spellEnd"/>
      <w:r>
        <w:t xml:space="preserve"> main concern may be mainly with the relationship between forging a self (an “achievement” that there’s no guarantee of completing) and the disposition to respond joyfully to non-catastrophe. Is that point of focus different from an attempt to analyze faith per se, in a way that would clarify how moving faithfully can be “intrinsically joyful”, if it is possible to move faithfully through </w:t>
      </w:r>
      <w:proofErr w:type="gramStart"/>
      <w:r>
        <w:t>catastrophe.</w:t>
      </w:r>
      <w:proofErr w:type="gramEnd"/>
      <w:r>
        <w:t xml:space="preserve"> In that context, does faith require joy? If so, what kind? </w:t>
      </w:r>
    </w:p>
    <w:p w14:paraId="700C4BA3" w14:textId="77777777" w:rsidR="00336D4A" w:rsidRDefault="00336D4A" w:rsidP="00426A48"/>
    <w:p w14:paraId="14221DEB" w14:textId="610802C1" w:rsidR="001F11C3" w:rsidRDefault="00C35BC5" w:rsidP="00426A48">
      <w:r>
        <w:t xml:space="preserve">As I read it, </w:t>
      </w:r>
      <w:r w:rsidR="00336D4A">
        <w:t>SH-</w:t>
      </w:r>
      <w:proofErr w:type="spellStart"/>
      <w:r w:rsidR="00336D4A">
        <w:t>LTC</w:t>
      </w:r>
      <w:proofErr w:type="spellEnd"/>
      <w:r w:rsidR="00336D4A">
        <w:t xml:space="preserve"> ha</w:t>
      </w:r>
      <w:r w:rsidR="00C73934">
        <w:t>s</w:t>
      </w:r>
      <w:r w:rsidR="00336D4A">
        <w:t xml:space="preserve"> an answer to this question to offer us, even if answering it is not the main item on her agenda. W</w:t>
      </w:r>
      <w:r>
        <w:t>hether you move faithfully through catastrophe depends not on how you respond to the catastrophe, but on how you are disposed to</w:t>
      </w:r>
      <w:r w:rsidR="004800BB">
        <w:t xml:space="preserve"> respond</w:t>
      </w:r>
      <w:r>
        <w:t xml:space="preserve"> the abundance of non-catastrophic things. In the throes of misery, I may find it hard to keep in view the fact that anything can be joyful - let alone that plain </w:t>
      </w:r>
      <w:r>
        <w:lastRenderedPageBreak/>
        <w:t xml:space="preserve">bread can be as joyful as stew. </w:t>
      </w:r>
      <w:r w:rsidR="00A17FE4">
        <w:t xml:space="preserve">I may in the moment lack epistemic flexibility: rats will scurry by but leave me numb, I will not even be disgusted, </w:t>
      </w:r>
      <w:r w:rsidR="00CA6489">
        <w:t xml:space="preserve">and I </w:t>
      </w:r>
      <w:r w:rsidR="00A17FE4">
        <w:t xml:space="preserve">will definitely not stop to smell the jasmine. </w:t>
      </w:r>
      <w:r w:rsidR="00F27846">
        <w:t xml:space="preserve"> Even though I love jasmine. </w:t>
      </w:r>
      <w:r w:rsidR="001F11C3">
        <w:t xml:space="preserve">Grief </w:t>
      </w:r>
      <w:r w:rsidR="009F5974">
        <w:t>will put me in a stupor.</w:t>
      </w:r>
    </w:p>
    <w:p w14:paraId="3C79FB5D" w14:textId="77777777" w:rsidR="001F11C3" w:rsidRDefault="001F11C3" w:rsidP="00426A48"/>
    <w:p w14:paraId="2D53658C" w14:textId="376CDC4E" w:rsidR="00CB37BB" w:rsidRDefault="001F11C3" w:rsidP="00426A48">
      <w:r>
        <w:t>But</w:t>
      </w:r>
      <w:r w:rsidR="009F5974">
        <w:t xml:space="preserve"> for all my stupor, I might still be </w:t>
      </w:r>
      <w:r w:rsidR="009F5974" w:rsidRPr="00CA6489">
        <w:rPr>
          <w:i/>
        </w:rPr>
        <w:t>disposed</w:t>
      </w:r>
      <w:r w:rsidR="009F5974">
        <w:t xml:space="preserve"> to find the sublime in the pedestrian. </w:t>
      </w:r>
      <w:r w:rsidR="00A866DE">
        <w:t>My disposition is a bit harder to activate in grief, but that's to be expected. It will come back.</w:t>
      </w:r>
      <w:r w:rsidR="00CB37BB">
        <w:t xml:space="preserve"> </w:t>
      </w:r>
      <w:r w:rsidR="00A866DE">
        <w:t xml:space="preserve">So long as the fact remains that it will come back, I </w:t>
      </w:r>
      <w:r w:rsidR="00CA6489">
        <w:t>count as having</w:t>
      </w:r>
      <w:r w:rsidR="00A866DE">
        <w:t xml:space="preserve"> the </w:t>
      </w:r>
      <w:r w:rsidR="00CA6489">
        <w:t>confidence that "every good and every perfect gift is from above"</w:t>
      </w:r>
      <w:r w:rsidR="00A866DE">
        <w:t>.</w:t>
      </w:r>
      <w:r w:rsidR="00CB37BB">
        <w:t xml:space="preserve"> And if I lose the disposition, then in losing it I have lost faith as well.</w:t>
      </w:r>
      <w:r w:rsidR="00A27C58">
        <w:t xml:space="preserve"> </w:t>
      </w:r>
      <w:r w:rsidR="00C73934">
        <w:t xml:space="preserve">  </w:t>
      </w:r>
    </w:p>
    <w:p w14:paraId="03DE9815" w14:textId="0D7D1D19" w:rsidR="00CB37BB" w:rsidRDefault="00CB37BB" w:rsidP="00426A48"/>
    <w:p w14:paraId="2EACEA8A" w14:textId="00C1B728" w:rsidR="001F11C3" w:rsidRDefault="00CB37BB" w:rsidP="00A27C58">
      <w:r>
        <w:t>But suppose I don’t lose faith, because I stay disposed to find joy in non-catastrophic things. I might have this crucial disposition, while not knowing whether or not I have it. (</w:t>
      </w:r>
      <w:r w:rsidR="00C73934">
        <w:t>In</w:t>
      </w:r>
      <w:r w:rsidR="00C73934">
        <w:t xml:space="preserve"> tense misery</w:t>
      </w:r>
      <w:r w:rsidR="00C73934">
        <w:t xml:space="preserve">, I might ask myself if </w:t>
      </w:r>
      <w:r>
        <w:t xml:space="preserve">the world </w:t>
      </w:r>
      <w:r w:rsidR="00C73934">
        <w:t xml:space="preserve">will </w:t>
      </w:r>
      <w:r>
        <w:t>ever seem charming again).</w:t>
      </w:r>
      <w:r w:rsidR="00A27C58">
        <w:t xml:space="preserve"> I</w:t>
      </w:r>
      <w:r w:rsidR="00A866DE">
        <w:t xml:space="preserve"> might </w:t>
      </w:r>
      <w:r w:rsidR="00A27C58">
        <w:t xml:space="preserve">even </w:t>
      </w:r>
      <w:r w:rsidR="00A866DE">
        <w:t>consciously doubt that I have it. But for all that, I might be more confident than I realize I am. That's because</w:t>
      </w:r>
      <w:r w:rsidR="009C5F1A">
        <w:t xml:space="preserve"> Kierkegaardian confidence, as SH-</w:t>
      </w:r>
      <w:proofErr w:type="spellStart"/>
      <w:r w:rsidR="009C5F1A">
        <w:t>LTC</w:t>
      </w:r>
      <w:proofErr w:type="spellEnd"/>
      <w:r w:rsidR="009C5F1A">
        <w:t xml:space="preserve"> explicates it, is not a felt </w:t>
      </w:r>
      <w:r w:rsidR="00413760">
        <w:t>attitude</w:t>
      </w:r>
      <w:r w:rsidR="009C5F1A">
        <w:t xml:space="preserve">. It's a </w:t>
      </w:r>
      <w:r w:rsidR="00413760">
        <w:t>disposition to</w:t>
      </w:r>
      <w:r w:rsidR="009C5F1A">
        <w:t xml:space="preserve"> enact the joyful responses to non-catastrophic things.</w:t>
      </w:r>
    </w:p>
    <w:p w14:paraId="19FFBA4C" w14:textId="77777777" w:rsidR="00EF4EC9" w:rsidRDefault="00EF4EC9" w:rsidP="00426A48"/>
    <w:p w14:paraId="71E6DFA2" w14:textId="75BD43B6" w:rsidR="00413760" w:rsidRDefault="00413760" w:rsidP="00426A48">
      <w:r>
        <w:t xml:space="preserve">The enactive analysis of confidence entails that you can have introspective errors: you might actually </w:t>
      </w:r>
      <w:r w:rsidRPr="00CA6489">
        <w:rPr>
          <w:i/>
        </w:rPr>
        <w:t>be</w:t>
      </w:r>
      <w:r>
        <w:t xml:space="preserve"> confident in the sense that matters for practical faith, without </w:t>
      </w:r>
      <w:r w:rsidRPr="00CA6489">
        <w:rPr>
          <w:i/>
        </w:rPr>
        <w:t>feeling</w:t>
      </w:r>
      <w:r>
        <w:t xml:space="preserve"> confident, and without believing you are. </w:t>
      </w:r>
      <w:r w:rsidR="00D42EE0">
        <w:t xml:space="preserve">(Compare the nervous but studious person who gets all the answers right on an exam because she studied hard, yet feels uncertain when producing them. She is </w:t>
      </w:r>
      <w:proofErr w:type="spellStart"/>
      <w:r w:rsidR="00D42EE0">
        <w:t>enactively</w:t>
      </w:r>
      <w:proofErr w:type="spellEnd"/>
      <w:r w:rsidR="00D42EE0">
        <w:t xml:space="preserve"> confident, but phenomenally under-confident). </w:t>
      </w:r>
    </w:p>
    <w:p w14:paraId="658F27E7" w14:textId="77777777" w:rsidR="00EF4EC9" w:rsidRDefault="00EF4EC9" w:rsidP="00426A48"/>
    <w:p w14:paraId="66A80C5C" w14:textId="77DCF200" w:rsidR="00FE20D1" w:rsidRDefault="00D42EE0" w:rsidP="00FE20D1">
      <w:r>
        <w:t>"Faith is inherently joyful", writes SH-</w:t>
      </w:r>
      <w:proofErr w:type="spellStart"/>
      <w:r>
        <w:t>LTC</w:t>
      </w:r>
      <w:proofErr w:type="spellEnd"/>
      <w:r>
        <w:t xml:space="preserve">. </w:t>
      </w:r>
      <w:r w:rsidR="00FE20D1">
        <w:t xml:space="preserve">As I interpret it, this remark </w:t>
      </w:r>
      <w:r w:rsidR="00EE083B">
        <w:t>means</w:t>
      </w:r>
      <w:r w:rsidR="00FE20D1">
        <w:t xml:space="preserve"> t</w:t>
      </w:r>
      <w:r w:rsidR="00EE083B">
        <w:t xml:space="preserve">hat while faithfully facing non-catastrophic things is joyful, faithfully moving through catastrophe requires only the disposition </w:t>
      </w:r>
      <w:r w:rsidR="00C73934">
        <w:t>to react with</w:t>
      </w:r>
      <w:r w:rsidR="00EE083B">
        <w:t xml:space="preserve"> </w:t>
      </w:r>
      <w:r w:rsidR="00C73934">
        <w:t>joy</w:t>
      </w:r>
      <w:r w:rsidR="00EE083B">
        <w:t xml:space="preserve"> to non-catastrophic things. Endurance may be</w:t>
      </w:r>
      <w:r w:rsidR="00595B25">
        <w:t xml:space="preserve"> both</w:t>
      </w:r>
      <w:r w:rsidR="00EE083B">
        <w:t xml:space="preserve"> numb</w:t>
      </w:r>
      <w:r w:rsidR="00595B25">
        <w:t xml:space="preserve"> and faithful, or it </w:t>
      </w:r>
      <w:r w:rsidR="00ED32FD">
        <w:t>may</w:t>
      </w:r>
      <w:r w:rsidR="00595B25">
        <w:t xml:space="preserve"> be numb </w:t>
      </w:r>
      <w:r w:rsidR="00ED32FD">
        <w:t>and faithless</w:t>
      </w:r>
      <w:r w:rsidR="00595B25">
        <w:t>. W</w:t>
      </w:r>
      <w:r w:rsidR="00EE083B">
        <w:t>hether it is faithful depends on how you're disposed to react in other situations.</w:t>
      </w:r>
    </w:p>
    <w:p w14:paraId="677534BC" w14:textId="77777777" w:rsidR="00EE083B" w:rsidRDefault="00EE083B" w:rsidP="00FE20D1"/>
    <w:p w14:paraId="5BC7F233" w14:textId="797E75FC" w:rsidR="00595B25" w:rsidRDefault="00EE083B" w:rsidP="00B31FDC">
      <w:r>
        <w:t>This interpretation</w:t>
      </w:r>
      <w:r w:rsidR="00ED32FD">
        <w:t xml:space="preserve"> of "faith is inherently joyful"</w:t>
      </w:r>
      <w:r>
        <w:t xml:space="preserve"> </w:t>
      </w:r>
      <w:r w:rsidR="00FE20D1">
        <w:t xml:space="preserve">respects the fact that when </w:t>
      </w:r>
      <w:r w:rsidR="00C73934">
        <w:t>the dancing tax collector</w:t>
      </w:r>
      <w:r w:rsidR="00FE20D1">
        <w:t xml:space="preserve"> dreams of stew, joy is not a contingent part of</w:t>
      </w:r>
      <w:r w:rsidR="00595B25">
        <w:t xml:space="preserve"> his response</w:t>
      </w:r>
      <w:r w:rsidR="00FE20D1">
        <w:t xml:space="preserve">. Remove </w:t>
      </w:r>
      <w:r w:rsidR="00C73934">
        <w:t>his</w:t>
      </w:r>
      <w:r w:rsidR="00FE20D1">
        <w:t xml:space="preserve"> joy and pleasure</w:t>
      </w:r>
      <w:r w:rsidR="00C73934">
        <w:t>,</w:t>
      </w:r>
      <w:r w:rsidR="00FE20D1">
        <w:t xml:space="preserve"> and you'd have a different kind of character - </w:t>
      </w:r>
      <w:r w:rsidR="00595B25">
        <w:t>possibly</w:t>
      </w:r>
      <w:r w:rsidR="00FE20D1">
        <w:t xml:space="preserve"> someone innocuous, colorless and bland, or maybe a bit melancholic. </w:t>
      </w:r>
      <w:r w:rsidR="00ED32FD">
        <w:t>This</w:t>
      </w:r>
      <w:r w:rsidR="00FE20D1">
        <w:t xml:space="preserve"> subtracted character </w:t>
      </w:r>
      <w:r w:rsidR="00ED32FD">
        <w:t>could still</w:t>
      </w:r>
      <w:r w:rsidR="00FE20D1">
        <w:t xml:space="preserve"> have other charms, as people usually do. But SH-</w:t>
      </w:r>
      <w:proofErr w:type="spellStart"/>
      <w:r w:rsidR="00FE20D1">
        <w:t>LTC</w:t>
      </w:r>
      <w:proofErr w:type="spellEnd"/>
      <w:r w:rsidR="00FE20D1">
        <w:t xml:space="preserve">, </w:t>
      </w:r>
      <w:r w:rsidR="00595B25">
        <w:t>as</w:t>
      </w:r>
      <w:r w:rsidR="00FE20D1">
        <w:t xml:space="preserve"> </w:t>
      </w:r>
      <w:r w:rsidR="00595B25">
        <w:t>the designated illuminator of</w:t>
      </w:r>
      <w:r w:rsidR="00FE20D1">
        <w:t xml:space="preserve"> faith, is keyed into </w:t>
      </w:r>
      <w:r w:rsidR="00C73934">
        <w:t xml:space="preserve">the </w:t>
      </w:r>
      <w:r w:rsidR="00C73934">
        <w:t>dancing tax collector</w:t>
      </w:r>
      <w:r w:rsidR="00C73934">
        <w:t xml:space="preserve">’s </w:t>
      </w:r>
      <w:r w:rsidR="00FE20D1">
        <w:t xml:space="preserve">affability. This is what she loves about him: he'd dance to the scurry of the rats! He finds everything intrinsically pleasing, </w:t>
      </w:r>
      <w:r w:rsidR="00ED32FD">
        <w:t xml:space="preserve">because for him </w:t>
      </w:r>
      <w:r w:rsidR="00FE20D1">
        <w:t xml:space="preserve">life is immediately abundant and satisfying (14). </w:t>
      </w:r>
    </w:p>
    <w:p w14:paraId="5DE62E1E" w14:textId="77777777" w:rsidR="00EE083B" w:rsidRDefault="00EE083B" w:rsidP="00B31FDC"/>
    <w:p w14:paraId="0D989545" w14:textId="4136FB53" w:rsidR="00B31FDC" w:rsidRDefault="00EE083B" w:rsidP="00EE083B">
      <w:r>
        <w:t xml:space="preserve">Is there, then, a </w:t>
      </w:r>
      <w:r w:rsidR="00595B25">
        <w:t xml:space="preserve">generalization that </w:t>
      </w:r>
      <w:r w:rsidR="00B31FDC">
        <w:t xml:space="preserve">captures both the joy and lightness of </w:t>
      </w:r>
      <w:r w:rsidR="00C73934">
        <w:t>the dancing tax collector</w:t>
      </w:r>
      <w:r w:rsidR="00B31FDC">
        <w:t xml:space="preserve">, and the </w:t>
      </w:r>
      <w:r w:rsidR="00595B25">
        <w:t xml:space="preserve">faithful </w:t>
      </w:r>
      <w:r w:rsidR="00B31FDC">
        <w:t>responses of those facing catastrophe?</w:t>
      </w:r>
      <w:r>
        <w:t xml:space="preserve"> </w:t>
      </w:r>
      <w:r w:rsidR="00595B25">
        <w:t xml:space="preserve">What makes these two illustrations of practical faith instances of the same thing? </w:t>
      </w:r>
      <w:r>
        <w:t xml:space="preserve">The responses have little in common, other than that they are both fitting responses to </w:t>
      </w:r>
      <w:r>
        <w:lastRenderedPageBreak/>
        <w:t xml:space="preserve">the situation at hand. </w:t>
      </w:r>
      <w:r w:rsidR="00595B25">
        <w:t xml:space="preserve">But </w:t>
      </w:r>
      <w:r w:rsidR="00C73934">
        <w:t xml:space="preserve">if </w:t>
      </w:r>
      <w:r w:rsidR="00595B25">
        <w:t>the subject who manifests them has an underlying disposition that she retains in catastrophe, even though the disposition is not manifested in those cases</w:t>
      </w:r>
      <w:r w:rsidR="00C73934">
        <w:t>, then these reactions are both manifestations of faith</w:t>
      </w:r>
      <w:r w:rsidR="00595B25">
        <w:t>.</w:t>
      </w:r>
      <w:r w:rsidR="00C73934">
        <w:t xml:space="preserve"> On this picture, w</w:t>
      </w:r>
      <w:r w:rsidR="00C351EE">
        <w:t xml:space="preserve">hat unifies the joyful and non-joyful faithful movements is </w:t>
      </w:r>
      <w:r>
        <w:t>a disposition to find the abundance o</w:t>
      </w:r>
      <w:r w:rsidR="004B5A99">
        <w:t xml:space="preserve">f gifts intrinsically pleasing, </w:t>
      </w:r>
      <w:r>
        <w:t xml:space="preserve">when </w:t>
      </w:r>
      <w:r w:rsidR="0060264D">
        <w:t>the gifts</w:t>
      </w:r>
      <w:r>
        <w:t xml:space="preserve"> are not occlu</w:t>
      </w:r>
      <w:r w:rsidR="0060264D">
        <w:t xml:space="preserve">ded </w:t>
      </w:r>
      <w:r w:rsidR="00CB737D">
        <w:t>in</w:t>
      </w:r>
      <w:r w:rsidR="0060264D">
        <w:t xml:space="preserve"> the hall of human horrors</w:t>
      </w:r>
      <w:r>
        <w:t>.</w:t>
      </w:r>
      <w:r w:rsidR="0060264D">
        <w:t xml:space="preserve"> Bullets and bouquets need not be met with the same affect - only with the same underlying disposition to take joy in the bouquet.</w:t>
      </w:r>
    </w:p>
    <w:p w14:paraId="029BB91A" w14:textId="02F2F5DC" w:rsidR="007A51BF" w:rsidRDefault="0060264D">
      <w:r>
        <w:t xml:space="preserve"> </w:t>
      </w:r>
    </w:p>
    <w:p w14:paraId="2EA0FC8D" w14:textId="33E1A4E8" w:rsidR="00EB0393" w:rsidRDefault="00EB0393">
      <w:r>
        <w:t>I’ve focused on the idea that a person could retain a disposition to find the sublime in the pedestrian, and that such a disposition would make it the case that they move faithfully through catastrophe.  Faith could then be inherently joyful. This picture assumes that it is possible to move through catastrophe faithfully. It treats faithfulness in the way Aristotle treated character traits: as habitual responses that a person manifests across a wide range of circumstances.</w:t>
      </w:r>
    </w:p>
    <w:p w14:paraId="728036D7" w14:textId="77777777" w:rsidR="00EB0393" w:rsidRDefault="00EB0393"/>
    <w:p w14:paraId="3D334A88" w14:textId="055DB3F9" w:rsidR="00595B25" w:rsidRDefault="00EB0393">
      <w:r>
        <w:t xml:space="preserve">On an alternative picture, faith doesn’t consist in a disposition to respond joyfully to non-catastrophic things, and </w:t>
      </w:r>
      <w:proofErr w:type="spellStart"/>
      <w:r>
        <w:t>i</w:t>
      </w:r>
      <w:proofErr w:type="spellEnd"/>
      <w:r>
        <w:t>t isn’t</w:t>
      </w:r>
      <w:r>
        <w:t xml:space="preserve"> possible to </w:t>
      </w:r>
      <w:r>
        <w:t>remain faithful in the face of catastrophe. The only thing to do in the face of catastrophe is lose faith, because that is what the situation calls for. The question about a person facing catastrophe – which may be all of us, if we face the catastrophes that surround us – is not whether they are faithful across a wide range of circumstance, in the way a kind person is kind to many different people in a host of different situations. But whether their situation allows them to find respite from catastrophe. And that may be in part a matter of a different disposition: the disposition to picture how the world could be, if it wasn’t in the throes of catastrophe.</w:t>
      </w:r>
      <w:r w:rsidR="00F80535">
        <w:rPr>
          <w:rStyle w:val="FootnoteReference"/>
        </w:rPr>
        <w:footnoteReference w:customMarkFollows="1" w:id="6"/>
        <w:t>*</w:t>
      </w:r>
    </w:p>
    <w:p w14:paraId="76CE0E4D" w14:textId="5CEF8C87" w:rsidR="005B6260" w:rsidRDefault="005B6260"/>
    <w:p w14:paraId="6CEF00B0" w14:textId="56B96B9F" w:rsidR="005B6260" w:rsidRPr="00FF30EA" w:rsidRDefault="005B6260">
      <w:pPr>
        <w:rPr>
          <w:b/>
        </w:rPr>
      </w:pPr>
      <w:r w:rsidRPr="00FF30EA">
        <w:rPr>
          <w:b/>
        </w:rPr>
        <w:t>Works cited</w:t>
      </w:r>
    </w:p>
    <w:p w14:paraId="22629DD6" w14:textId="53E99F90" w:rsidR="005B6260" w:rsidRPr="00FF30EA" w:rsidRDefault="005B6260">
      <w:pPr>
        <w:rPr>
          <w:b/>
        </w:rPr>
      </w:pPr>
    </w:p>
    <w:p w14:paraId="449B387F" w14:textId="6B14A371" w:rsidR="005B6260" w:rsidRDefault="000A1AEC">
      <w:pPr>
        <w:rPr>
          <w:rFonts w:ascii="Cambria" w:eastAsia="Times New Roman" w:hAnsi="Cambria" w:cs="Arial"/>
          <w:shd w:val="clear" w:color="auto" w:fill="FFFFFF"/>
        </w:rPr>
      </w:pPr>
      <w:r w:rsidRPr="000A1AEC">
        <w:rPr>
          <w:rFonts w:ascii="Cambria" w:eastAsia="Times New Roman" w:hAnsi="Cambria" w:cs="Arial"/>
          <w:shd w:val="clear" w:color="auto" w:fill="FFFFFF"/>
        </w:rPr>
        <w:t>Edwards, Aaron</w:t>
      </w:r>
      <w:r w:rsidR="00FF30EA">
        <w:rPr>
          <w:rFonts w:ascii="Cambria" w:eastAsia="Times New Roman" w:hAnsi="Cambria" w:cs="Arial"/>
          <w:shd w:val="clear" w:color="auto" w:fill="FFFFFF"/>
        </w:rPr>
        <w:t xml:space="preserve"> (</w:t>
      </w:r>
      <w:r w:rsidRPr="000A1AEC">
        <w:rPr>
          <w:rFonts w:ascii="Cambria" w:eastAsia="Times New Roman" w:hAnsi="Cambria" w:cs="Arial"/>
          <w:shd w:val="clear" w:color="auto" w:fill="FFFFFF"/>
        </w:rPr>
        <w:t>2018</w:t>
      </w:r>
      <w:r w:rsidR="00FF30EA">
        <w:rPr>
          <w:rFonts w:ascii="Cambria" w:eastAsia="Times New Roman" w:hAnsi="Cambria" w:cs="Arial"/>
          <w:shd w:val="clear" w:color="auto" w:fill="FFFFFF"/>
        </w:rPr>
        <w:t>).</w:t>
      </w:r>
      <w:r w:rsidRPr="000A1AEC">
        <w:rPr>
          <w:rFonts w:ascii="Cambria" w:eastAsia="Times New Roman" w:hAnsi="Cambria" w:cs="Arial"/>
          <w:shd w:val="clear" w:color="auto" w:fill="FFFFFF"/>
        </w:rPr>
        <w:t xml:space="preserve"> </w:t>
      </w:r>
      <w:r w:rsidRPr="000A1AEC">
        <w:t xml:space="preserve">Review of Sheridan Hough, “Kierkegaard’s </w:t>
      </w:r>
      <w:proofErr w:type="spellStart"/>
      <w:r w:rsidRPr="000A1AEC">
        <w:t>DSancing</w:t>
      </w:r>
      <w:proofErr w:type="spellEnd"/>
      <w:r w:rsidRPr="000A1AEC">
        <w:t xml:space="preserve"> Tax Collector: Faith Finitude and Silence”. </w:t>
      </w:r>
      <w:r w:rsidRPr="000A1AEC">
        <w:rPr>
          <w:rFonts w:ascii="Cambria" w:eastAsia="Times New Roman" w:hAnsi="Cambria" w:cs="Arial"/>
          <w:shd w:val="clear" w:color="auto" w:fill="FFFFFF"/>
        </w:rPr>
        <w:t xml:space="preserve"> </w:t>
      </w:r>
      <w:r w:rsidR="005B6260" w:rsidRPr="000A1AEC">
        <w:rPr>
          <w:rFonts w:ascii="Cambria" w:eastAsia="Times New Roman" w:hAnsi="Cambria" w:cs="Arial"/>
          <w:shd w:val="clear" w:color="auto" w:fill="FFFFFF"/>
        </w:rPr>
        <w:t xml:space="preserve">Studies in Christian Ethics, 2018-05, </w:t>
      </w:r>
      <w:proofErr w:type="spellStart"/>
      <w:r w:rsidR="005B6260" w:rsidRPr="000A1AEC">
        <w:rPr>
          <w:rFonts w:ascii="Cambria" w:eastAsia="Times New Roman" w:hAnsi="Cambria" w:cs="Arial"/>
          <w:shd w:val="clear" w:color="auto" w:fill="FFFFFF"/>
        </w:rPr>
        <w:t>Vol.31</w:t>
      </w:r>
      <w:proofErr w:type="spellEnd"/>
      <w:r w:rsidR="005B6260" w:rsidRPr="000A1AEC">
        <w:rPr>
          <w:rFonts w:ascii="Cambria" w:eastAsia="Times New Roman" w:hAnsi="Cambria" w:cs="Arial"/>
          <w:shd w:val="clear" w:color="auto" w:fill="FFFFFF"/>
        </w:rPr>
        <w:t xml:space="preserve"> (2), </w:t>
      </w:r>
      <w:proofErr w:type="spellStart"/>
      <w:r w:rsidR="005B6260" w:rsidRPr="000A1AEC">
        <w:rPr>
          <w:rFonts w:ascii="Cambria" w:eastAsia="Times New Roman" w:hAnsi="Cambria" w:cs="Arial"/>
          <w:shd w:val="clear" w:color="auto" w:fill="FFFFFF"/>
        </w:rPr>
        <w:t>p.246</w:t>
      </w:r>
      <w:proofErr w:type="spellEnd"/>
      <w:r w:rsidR="005B6260" w:rsidRPr="000A1AEC">
        <w:rPr>
          <w:rFonts w:ascii="Cambria" w:eastAsia="Times New Roman" w:hAnsi="Cambria" w:cs="Arial"/>
          <w:shd w:val="clear" w:color="auto" w:fill="FFFFFF"/>
        </w:rPr>
        <w:t>-250</w:t>
      </w:r>
      <w:r>
        <w:rPr>
          <w:rFonts w:ascii="Cambria" w:eastAsia="Times New Roman" w:hAnsi="Cambria" w:cs="Arial"/>
          <w:shd w:val="clear" w:color="auto" w:fill="FFFFFF"/>
        </w:rPr>
        <w:t>.</w:t>
      </w:r>
    </w:p>
    <w:p w14:paraId="4641710F" w14:textId="579B1CFF" w:rsidR="00FF30EA" w:rsidRDefault="00FF30EA">
      <w:pPr>
        <w:rPr>
          <w:rFonts w:ascii="Cambria" w:eastAsia="Times New Roman" w:hAnsi="Cambria" w:cs="Arial"/>
          <w:shd w:val="clear" w:color="auto" w:fill="FFFFFF"/>
        </w:rPr>
      </w:pPr>
    </w:p>
    <w:p w14:paraId="74B44697" w14:textId="1A2A0A02" w:rsidR="00FF30EA" w:rsidRPr="000A1AEC" w:rsidRDefault="00FF30EA">
      <w:pPr>
        <w:rPr>
          <w:rFonts w:ascii="Cambria" w:eastAsia="Times New Roman" w:hAnsi="Cambria" w:cs="Arial"/>
          <w:shd w:val="clear" w:color="auto" w:fill="FFFFFF"/>
        </w:rPr>
      </w:pPr>
      <w:proofErr w:type="spellStart"/>
      <w:r w:rsidRPr="00B2277D">
        <w:rPr>
          <w:rFonts w:ascii="Cambria" w:hAnsi="Cambria"/>
        </w:rPr>
        <w:t>Krischek</w:t>
      </w:r>
      <w:proofErr w:type="spellEnd"/>
      <w:r>
        <w:rPr>
          <w:rFonts w:ascii="Cambria" w:hAnsi="Cambria"/>
        </w:rPr>
        <w:t xml:space="preserve">, </w:t>
      </w:r>
      <w:r w:rsidRPr="00B2277D">
        <w:rPr>
          <w:rFonts w:ascii="Cambria" w:hAnsi="Cambria"/>
        </w:rPr>
        <w:t>Sh</w:t>
      </w:r>
      <w:r>
        <w:rPr>
          <w:rFonts w:ascii="Cambria" w:hAnsi="Cambria"/>
        </w:rPr>
        <w:t>a</w:t>
      </w:r>
      <w:r w:rsidRPr="00B2277D">
        <w:rPr>
          <w:rFonts w:ascii="Cambria" w:hAnsi="Cambria"/>
        </w:rPr>
        <w:t>ron</w:t>
      </w:r>
      <w:r>
        <w:rPr>
          <w:rFonts w:ascii="Cambria" w:hAnsi="Cambria"/>
        </w:rPr>
        <w:t xml:space="preserve">. (2016). Notre Dame Philosophical Reviews Online Journal. June 6, 2016. </w:t>
      </w:r>
      <w:r w:rsidRPr="00FF30EA">
        <w:rPr>
          <w:rFonts w:ascii="Cambria" w:hAnsi="Cambria"/>
        </w:rPr>
        <w:t>https://ndpr.nd.edu/news/kierkegaards-dancing-tax-collector-faith-finitude-and-silence/</w:t>
      </w:r>
    </w:p>
    <w:p w14:paraId="0012F3D3" w14:textId="77777777" w:rsidR="00FF30EA" w:rsidRDefault="00FF30EA">
      <w:pPr>
        <w:rPr>
          <w:rFonts w:ascii="Cambria" w:eastAsia="Times New Roman" w:hAnsi="Cambria" w:cs="Arial"/>
          <w:shd w:val="clear" w:color="auto" w:fill="FFFFFF"/>
        </w:rPr>
      </w:pPr>
    </w:p>
    <w:p w14:paraId="27052B93" w14:textId="41A55DF9" w:rsidR="005B6260" w:rsidRPr="000A1AEC" w:rsidRDefault="005B6260">
      <w:pPr>
        <w:rPr>
          <w:rFonts w:ascii="Cambria" w:eastAsia="Times New Roman" w:hAnsi="Cambria" w:cs="Arial"/>
          <w:shd w:val="clear" w:color="auto" w:fill="FFFFFF"/>
        </w:rPr>
      </w:pPr>
      <w:proofErr w:type="spellStart"/>
      <w:r w:rsidRPr="000A1AEC">
        <w:rPr>
          <w:rFonts w:ascii="Cambria" w:eastAsia="Times New Roman" w:hAnsi="Cambria" w:cs="Arial"/>
          <w:shd w:val="clear" w:color="auto" w:fill="FFFFFF"/>
        </w:rPr>
        <w:t>Nehamas</w:t>
      </w:r>
      <w:proofErr w:type="spellEnd"/>
      <w:r w:rsidRPr="000A1AEC">
        <w:rPr>
          <w:rFonts w:ascii="Cambria" w:eastAsia="Times New Roman" w:hAnsi="Cambria" w:cs="Arial"/>
          <w:shd w:val="clear" w:color="auto" w:fill="FFFFFF"/>
        </w:rPr>
        <w:t>, Alexander.</w:t>
      </w:r>
      <w:r w:rsidR="000A1AEC">
        <w:rPr>
          <w:rFonts w:ascii="Cambria" w:eastAsia="Times New Roman" w:hAnsi="Cambria" w:cs="Arial"/>
          <w:shd w:val="clear" w:color="auto" w:fill="FFFFFF"/>
        </w:rPr>
        <w:t xml:space="preserve"> (2007). Only a promise of happiness. Princeton: Princeton University Press. </w:t>
      </w:r>
    </w:p>
    <w:p w14:paraId="67F594C8" w14:textId="77777777" w:rsidR="00FF30EA" w:rsidRDefault="00FF30EA"/>
    <w:p w14:paraId="70282797" w14:textId="72209B60" w:rsidR="0017699A" w:rsidRPr="000A1AEC" w:rsidRDefault="005B6260">
      <w:pPr>
        <w:rPr>
          <w:rStyle w:val="Hyperlink"/>
          <w:rFonts w:ascii="Arial" w:hAnsi="Arial" w:cs="Arial"/>
          <w:color w:val="auto"/>
          <w:sz w:val="26"/>
          <w:szCs w:val="26"/>
          <w:u w:val="none"/>
        </w:rPr>
      </w:pPr>
      <w:proofErr w:type="spellStart"/>
      <w:r w:rsidRPr="000A1AEC">
        <w:t>Nowacheck</w:t>
      </w:r>
      <w:proofErr w:type="spellEnd"/>
      <w:r w:rsidRPr="000A1AEC">
        <w:t>, Matthew</w:t>
      </w:r>
      <w:r w:rsidR="0017699A" w:rsidRPr="000A1AEC">
        <w:t>. (2017</w:t>
      </w:r>
      <w:proofErr w:type="gramStart"/>
      <w:r w:rsidR="0017699A" w:rsidRPr="000A1AEC">
        <w:t>)  Review</w:t>
      </w:r>
      <w:proofErr w:type="gramEnd"/>
      <w:r w:rsidR="0017699A" w:rsidRPr="000A1AEC">
        <w:t xml:space="preserve"> of Sheridan Hough, “Kierkegaard’s </w:t>
      </w:r>
      <w:proofErr w:type="spellStart"/>
      <w:r w:rsidR="0017699A" w:rsidRPr="000A1AEC">
        <w:t>DSancing</w:t>
      </w:r>
      <w:proofErr w:type="spellEnd"/>
      <w:r w:rsidR="0017699A" w:rsidRPr="000A1AEC">
        <w:t xml:space="preserve"> Tax Collector: Faith Finitude and Silence”. The </w:t>
      </w:r>
      <w:proofErr w:type="spellStart"/>
      <w:r w:rsidR="0017699A" w:rsidRPr="000A1AEC">
        <w:t>Heythop</w:t>
      </w:r>
      <w:proofErr w:type="spellEnd"/>
      <w:r w:rsidR="0017699A" w:rsidRPr="000A1AEC">
        <w:t xml:space="preserve"> Journal 58(4), pages 709-10. July 2018. </w:t>
      </w:r>
      <w:r w:rsidR="0017699A" w:rsidRPr="000A1AEC">
        <w:rPr>
          <w:rFonts w:ascii="Arial" w:hAnsi="Arial" w:cs="Arial"/>
          <w:sz w:val="26"/>
          <w:szCs w:val="26"/>
        </w:rPr>
        <w:t xml:space="preserve"> </w:t>
      </w:r>
      <w:hyperlink r:id="rId6" w:history="1">
        <w:r w:rsidR="000A1AEC" w:rsidRPr="000A1AEC">
          <w:rPr>
            <w:rStyle w:val="Hyperlink"/>
            <w:rFonts w:ascii="Cambria" w:hAnsi="Cambria"/>
            <w:b/>
            <w:bCs/>
            <w:color w:val="auto"/>
            <w:shd w:val="clear" w:color="auto" w:fill="FFFFFF"/>
          </w:rPr>
          <w:t>https://doi-org.ezp-prod1.hul.harvard.edu/10.1111/heyj.12626</w:t>
        </w:r>
      </w:hyperlink>
    </w:p>
    <w:p w14:paraId="6168661B" w14:textId="77777777" w:rsidR="0017699A" w:rsidRPr="000A1AEC" w:rsidRDefault="0017699A"/>
    <w:p w14:paraId="132BC6A5" w14:textId="67CD51F6" w:rsidR="005B6260" w:rsidRPr="000A1AEC" w:rsidRDefault="005B6260">
      <w:r w:rsidRPr="000A1AEC">
        <w:t xml:space="preserve">Thomasson, Amie. </w:t>
      </w:r>
      <w:r w:rsidR="0017699A" w:rsidRPr="000A1AEC">
        <w:t>(1999). Fiction and Metaphysics.</w:t>
      </w:r>
      <w:r w:rsidR="000A1AEC">
        <w:t xml:space="preserve"> Cambridge: Cambridge University Press.</w:t>
      </w:r>
    </w:p>
    <w:sectPr w:rsidR="005B6260" w:rsidRPr="000A1AEC" w:rsidSect="002879C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A2FD2" w14:textId="77777777" w:rsidR="001D1B3E" w:rsidRDefault="001D1B3E" w:rsidP="00BE4D28">
      <w:r>
        <w:separator/>
      </w:r>
    </w:p>
  </w:endnote>
  <w:endnote w:type="continuationSeparator" w:id="0">
    <w:p w14:paraId="0F9B0902" w14:textId="77777777" w:rsidR="001D1B3E" w:rsidRDefault="001D1B3E" w:rsidP="00BE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3ADE" w14:textId="77777777" w:rsidR="00D54CE1" w:rsidRDefault="00D54CE1" w:rsidP="00326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5D41C" w14:textId="77777777" w:rsidR="00D54CE1" w:rsidRDefault="00D54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6168" w14:textId="77777777" w:rsidR="00D54CE1" w:rsidRDefault="00D54CE1" w:rsidP="00326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2FD">
      <w:rPr>
        <w:rStyle w:val="PageNumber"/>
        <w:noProof/>
      </w:rPr>
      <w:t>1</w:t>
    </w:r>
    <w:r>
      <w:rPr>
        <w:rStyle w:val="PageNumber"/>
      </w:rPr>
      <w:fldChar w:fldCharType="end"/>
    </w:r>
  </w:p>
  <w:p w14:paraId="5A76CFA2" w14:textId="77777777" w:rsidR="00D54CE1" w:rsidRDefault="00D54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E309" w14:textId="77777777" w:rsidR="001D1B3E" w:rsidRDefault="001D1B3E" w:rsidP="00BE4D28">
      <w:r>
        <w:separator/>
      </w:r>
    </w:p>
  </w:footnote>
  <w:footnote w:type="continuationSeparator" w:id="0">
    <w:p w14:paraId="5CEA0628" w14:textId="77777777" w:rsidR="001D1B3E" w:rsidRDefault="001D1B3E" w:rsidP="00BE4D28">
      <w:r>
        <w:continuationSeparator/>
      </w:r>
    </w:p>
  </w:footnote>
  <w:footnote w:id="1">
    <w:p w14:paraId="293C71AF" w14:textId="04A3DF76" w:rsidR="00735F25" w:rsidRDefault="00735F25">
      <w:pPr>
        <w:pStyle w:val="FootnoteText"/>
      </w:pPr>
      <w:r>
        <w:rPr>
          <w:rStyle w:val="FootnoteReference"/>
        </w:rPr>
        <w:footnoteRef/>
      </w:r>
      <w:r>
        <w:t xml:space="preserve"> </w:t>
      </w:r>
      <w:r w:rsidR="00E95164">
        <w:t xml:space="preserve">The limitation on love here may come from the fact that it would be an inter-personal relationship, not from the nature of love relations per se. </w:t>
      </w:r>
      <w:proofErr w:type="spellStart"/>
      <w:r>
        <w:t>Nehamas</w:t>
      </w:r>
      <w:proofErr w:type="spellEnd"/>
      <w:r>
        <w:t xml:space="preserve"> (2007) discusses the possibility of falling in love with art as such, but that seems different from bearing such a relation or attitude toward fictional characters, if you are not one yourself.</w:t>
      </w:r>
    </w:p>
  </w:footnote>
  <w:footnote w:id="2">
    <w:p w14:paraId="70D5E04D" w14:textId="5B6CD239" w:rsidR="00B63623" w:rsidRPr="0061012C" w:rsidRDefault="00B63623">
      <w:pPr>
        <w:pStyle w:val="FootnoteText"/>
      </w:pPr>
      <w:r>
        <w:rPr>
          <w:rStyle w:val="FootnoteReference"/>
        </w:rPr>
        <w:footnoteRef/>
      </w:r>
      <w:r>
        <w:t xml:space="preserve"> Is it a trio, or a tetrad if we include Johannes de </w:t>
      </w:r>
      <w:proofErr w:type="spellStart"/>
      <w:r>
        <w:t>Silentio</w:t>
      </w:r>
      <w:proofErr w:type="spellEnd"/>
      <w:r>
        <w:t xml:space="preserve">? “Johannes de </w:t>
      </w:r>
      <w:proofErr w:type="spellStart"/>
      <w:r>
        <w:t>Silentio</w:t>
      </w:r>
      <w:proofErr w:type="spellEnd"/>
      <w:r>
        <w:t xml:space="preserve">” is the pseudonym under which Kierkegaard published </w:t>
      </w:r>
      <w:r>
        <w:rPr>
          <w:i/>
        </w:rPr>
        <w:t>Fear and Trembling</w:t>
      </w:r>
      <w:r w:rsidR="0061012C">
        <w:t xml:space="preserve">. If we take the pseudonym to introduce a narrator distinct from the author, then the structure of </w:t>
      </w:r>
      <w:r w:rsidR="0061012C">
        <w:rPr>
          <w:i/>
        </w:rPr>
        <w:t xml:space="preserve">Fear and Trembling </w:t>
      </w:r>
      <w:r w:rsidR="0061012C">
        <w:t xml:space="preserve">mirrors the structure of </w:t>
      </w:r>
      <w:r w:rsidR="0061012C">
        <w:rPr>
          <w:i/>
        </w:rPr>
        <w:t>Kierkegaard’s Dancing Tax Collector</w:t>
      </w:r>
      <w:r w:rsidR="0061012C">
        <w:t>, and we will have a tetrad rather than a trio.</w:t>
      </w:r>
    </w:p>
  </w:footnote>
  <w:footnote w:id="3">
    <w:p w14:paraId="76097028" w14:textId="40B04647" w:rsidR="00D54CE1" w:rsidRPr="00454CA7" w:rsidRDefault="00D54CE1">
      <w:pPr>
        <w:pStyle w:val="FootnoteText"/>
      </w:pPr>
      <w:r>
        <w:rPr>
          <w:rStyle w:val="FootnoteReference"/>
        </w:rPr>
        <w:footnoteRef/>
      </w:r>
      <w:r>
        <w:t xml:space="preserve"> Compare </w:t>
      </w:r>
      <w:r w:rsidR="00174B8B">
        <w:t xml:space="preserve">A. </w:t>
      </w:r>
      <w:r>
        <w:t>Thomasson (</w:t>
      </w:r>
      <w:r w:rsidR="00454CA7">
        <w:t>1999</w:t>
      </w:r>
      <w:r>
        <w:t>) on fictional characters as artifacts of authors.</w:t>
      </w:r>
      <w:r w:rsidR="00454CA7">
        <w:t xml:space="preserve"> </w:t>
      </w:r>
      <w:r w:rsidR="00454CA7">
        <w:rPr>
          <w:i/>
        </w:rPr>
        <w:t>Fiction and Metaphysics</w:t>
      </w:r>
      <w:r w:rsidR="00454CA7">
        <w:t>. Cambridge University Press.</w:t>
      </w:r>
    </w:p>
  </w:footnote>
  <w:footnote w:id="4">
    <w:p w14:paraId="15545100" w14:textId="25EDFC4A" w:rsidR="00D54CE1" w:rsidRDefault="00D54CE1" w:rsidP="00F116EB">
      <w:r w:rsidRPr="00B2277D">
        <w:rPr>
          <w:rStyle w:val="FootnoteReference"/>
          <w:rFonts w:ascii="Cambria" w:hAnsi="Cambria"/>
        </w:rPr>
        <w:footnoteRef/>
      </w:r>
      <w:r w:rsidRPr="00B2277D">
        <w:rPr>
          <w:rFonts w:ascii="Cambria" w:hAnsi="Cambria"/>
        </w:rPr>
        <w:t xml:space="preserve"> </w:t>
      </w:r>
      <w:proofErr w:type="spellStart"/>
      <w:r w:rsidR="00CF73B7" w:rsidRPr="00B2277D">
        <w:rPr>
          <w:rFonts w:ascii="Cambria" w:hAnsi="Cambria"/>
        </w:rPr>
        <w:t>Nowachek</w:t>
      </w:r>
      <w:proofErr w:type="spellEnd"/>
      <w:r w:rsidR="00CF73B7" w:rsidRPr="00B2277D">
        <w:rPr>
          <w:rFonts w:ascii="Cambria" w:hAnsi="Cambria"/>
        </w:rPr>
        <w:t xml:space="preserve"> </w:t>
      </w:r>
      <w:r w:rsidR="00DC12E6">
        <w:t>(2017)</w:t>
      </w:r>
      <w:r w:rsidR="0085342A">
        <w:t xml:space="preserve"> and </w:t>
      </w:r>
      <w:proofErr w:type="spellStart"/>
      <w:r w:rsidR="00CF73B7" w:rsidRPr="00B2277D">
        <w:rPr>
          <w:rFonts w:ascii="Cambria" w:hAnsi="Cambria"/>
        </w:rPr>
        <w:t>Krischek</w:t>
      </w:r>
      <w:proofErr w:type="spellEnd"/>
      <w:r w:rsidR="00B1668E" w:rsidRPr="00B2277D">
        <w:rPr>
          <w:rFonts w:ascii="Cambria" w:hAnsi="Cambria"/>
        </w:rPr>
        <w:t xml:space="preserve"> </w:t>
      </w:r>
      <w:r w:rsidR="00DC12E6">
        <w:t>(2016)</w:t>
      </w:r>
      <w:r w:rsidR="0085342A">
        <w:t xml:space="preserve"> call the book “playful”, and</w:t>
      </w:r>
      <w:r w:rsidR="00DC12E6">
        <w:t xml:space="preserve"> </w:t>
      </w:r>
      <w:proofErr w:type="spellStart"/>
      <w:r w:rsidR="00DC12E6">
        <w:t>Kirschek</w:t>
      </w:r>
      <w:proofErr w:type="spellEnd"/>
      <w:r w:rsidR="00DC12E6">
        <w:t xml:space="preserve"> </w:t>
      </w:r>
      <w:r w:rsidR="00B1668E" w:rsidRPr="00B2277D">
        <w:rPr>
          <w:rFonts w:ascii="Cambria" w:hAnsi="Cambria"/>
        </w:rPr>
        <w:t>adds</w:t>
      </w:r>
      <w:r w:rsidR="00DC12E6">
        <w:rPr>
          <w:rFonts w:ascii="Cambria" w:hAnsi="Cambria"/>
        </w:rPr>
        <w:t>:</w:t>
      </w:r>
      <w:r w:rsidR="00B1668E" w:rsidRPr="00B2277D">
        <w:rPr>
          <w:rFonts w:ascii="Cambria" w:hAnsi="Cambria"/>
        </w:rPr>
        <w:t xml:space="preserve"> “</w:t>
      </w:r>
      <w:r w:rsidR="00B1668E" w:rsidRPr="00B2277D">
        <w:rPr>
          <w:rFonts w:ascii="Cambria" w:eastAsia="Times New Roman" w:hAnsi="Cambria" w:cs="Times New Roman"/>
          <w:color w:val="000000"/>
          <w:shd w:val="clear" w:color="auto" w:fill="FFFFFF"/>
        </w:rPr>
        <w:t>Hough consciously echoes Kierkegaard's literary devices and idiosyncratic formulations. This attests the author's literary talent, but may sometimes give the impression that rather than serving to advance the discussed ideas, the style itself is in the spotlight.</w:t>
      </w:r>
      <w:r w:rsidR="00B1668E" w:rsidRPr="00B2277D">
        <w:rPr>
          <w:rFonts w:ascii="Cambria" w:eastAsia="Times New Roman" w:hAnsi="Cambria" w:cs="Times New Roman"/>
        </w:rPr>
        <w:t xml:space="preserve">” </w:t>
      </w:r>
      <w:r w:rsidR="00B2277D" w:rsidRPr="00B2277D">
        <w:rPr>
          <w:rFonts w:ascii="Cambria" w:eastAsia="Times New Roman" w:hAnsi="Cambria" w:cs="Times New Roman"/>
        </w:rPr>
        <w:t>In discussing the formal feature, Edwards</w:t>
      </w:r>
      <w:r w:rsidR="00DC12E6">
        <w:rPr>
          <w:rFonts w:ascii="Cambria" w:eastAsia="Times New Roman" w:hAnsi="Cambria" w:cs="Times New Roman"/>
        </w:rPr>
        <w:t xml:space="preserve"> (2018)</w:t>
      </w:r>
      <w:r w:rsidR="00B2277D" w:rsidRPr="00B2277D">
        <w:rPr>
          <w:rFonts w:ascii="Cambria" w:eastAsia="Times New Roman" w:hAnsi="Cambria" w:cs="Times New Roman"/>
        </w:rPr>
        <w:t xml:space="preserve"> says </w:t>
      </w:r>
      <w:r w:rsidR="00803AB6" w:rsidRPr="00B2277D">
        <w:rPr>
          <w:rFonts w:ascii="Cambria" w:eastAsia="Times New Roman" w:hAnsi="Cambria" w:cs="Times New Roman"/>
        </w:rPr>
        <w:t>“One wonders if it is mere icing”</w:t>
      </w:r>
      <w:r w:rsidR="00B2277D" w:rsidRPr="00B2277D">
        <w:rPr>
          <w:rFonts w:ascii="Cambria" w:eastAsia="Times New Roman" w:hAnsi="Cambria" w:cs="Times New Roman"/>
        </w:rPr>
        <w:t xml:space="preserve">. </w:t>
      </w:r>
      <w:r w:rsidR="00B1668E" w:rsidRPr="00B2277D">
        <w:rPr>
          <w:rFonts w:ascii="Cambria" w:eastAsia="Times New Roman" w:hAnsi="Cambria" w:cs="Times New Roman"/>
        </w:rPr>
        <w:t xml:space="preserve">As I see it, </w:t>
      </w:r>
      <w:r w:rsidR="00B2277D" w:rsidRPr="00B2277D">
        <w:rPr>
          <w:rFonts w:ascii="Cambria" w:eastAsia="Times New Roman" w:hAnsi="Cambria" w:cs="Times New Roman"/>
        </w:rPr>
        <w:t>these</w:t>
      </w:r>
      <w:r w:rsidR="00B1668E" w:rsidRPr="00B2277D">
        <w:rPr>
          <w:rFonts w:ascii="Cambria" w:eastAsia="Times New Roman" w:hAnsi="Cambria" w:cs="Times New Roman"/>
        </w:rPr>
        <w:t xml:space="preserve"> response</w:t>
      </w:r>
      <w:r w:rsidR="00B2277D" w:rsidRPr="00B2277D">
        <w:rPr>
          <w:rFonts w:ascii="Cambria" w:eastAsia="Times New Roman" w:hAnsi="Cambria" w:cs="Times New Roman"/>
        </w:rPr>
        <w:t>s</w:t>
      </w:r>
      <w:r w:rsidR="00B1668E" w:rsidRPr="00B2277D">
        <w:rPr>
          <w:rFonts w:ascii="Cambria" w:eastAsia="Times New Roman" w:hAnsi="Cambria" w:cs="Times New Roman"/>
        </w:rPr>
        <w:t xml:space="preserve"> </w:t>
      </w:r>
      <w:r w:rsidR="00B2277D" w:rsidRPr="00B2277D">
        <w:rPr>
          <w:rFonts w:ascii="Cambria" w:eastAsia="Times New Roman" w:hAnsi="Cambria" w:cs="Times New Roman"/>
        </w:rPr>
        <w:t xml:space="preserve">miss the substantive point </w:t>
      </w:r>
      <w:r w:rsidR="00B2277D">
        <w:rPr>
          <w:rFonts w:ascii="Cambria" w:eastAsia="Times New Roman" w:hAnsi="Cambria" w:cs="Times New Roman"/>
        </w:rPr>
        <w:t>of</w:t>
      </w:r>
      <w:r w:rsidR="00B2277D" w:rsidRPr="00B2277D">
        <w:rPr>
          <w:rFonts w:ascii="Cambria" w:eastAsia="Times New Roman" w:hAnsi="Cambria" w:cs="Times New Roman"/>
        </w:rPr>
        <w:t xml:space="preserve"> the form</w:t>
      </w:r>
      <w:r w:rsidR="008540B9">
        <w:rPr>
          <w:rFonts w:ascii="Cambria" w:eastAsia="Times New Roman" w:hAnsi="Cambria" w:cs="Times New Roman"/>
        </w:rPr>
        <w:t>, by overlooking its substantive relationship to the practical nature of Kierkegaardian faith as both SH and SH-</w:t>
      </w:r>
      <w:proofErr w:type="spellStart"/>
      <w:r w:rsidR="008540B9">
        <w:rPr>
          <w:rFonts w:ascii="Cambria" w:eastAsia="Times New Roman" w:hAnsi="Cambria" w:cs="Times New Roman"/>
        </w:rPr>
        <w:t>LTC’s</w:t>
      </w:r>
      <w:proofErr w:type="spellEnd"/>
      <w:r w:rsidR="008540B9">
        <w:rPr>
          <w:rFonts w:ascii="Cambria" w:eastAsia="Times New Roman" w:hAnsi="Cambria" w:cs="Times New Roman"/>
        </w:rPr>
        <w:t xml:space="preserve"> understand it.</w:t>
      </w:r>
    </w:p>
  </w:footnote>
  <w:footnote w:id="5">
    <w:p w14:paraId="3FDB6EB9" w14:textId="0564627B" w:rsidR="00D54CE1" w:rsidRDefault="00D54CE1">
      <w:pPr>
        <w:pStyle w:val="FootnoteText"/>
      </w:pPr>
      <w:r>
        <w:rPr>
          <w:rStyle w:val="FootnoteReference"/>
        </w:rPr>
        <w:footnoteRef/>
      </w:r>
      <w:r>
        <w:t xml:space="preserve"> p. 120. From Upbuilding Discourses: "We are not saying that their wrong thereby ceased to be wrong - what would be the use of such pernicious and foolish talk"</w:t>
      </w:r>
    </w:p>
  </w:footnote>
  <w:footnote w:id="6">
    <w:p w14:paraId="77A1ADFF" w14:textId="59D89365" w:rsidR="00F80535" w:rsidRDefault="00F80535">
      <w:pPr>
        <w:pStyle w:val="FootnoteText"/>
      </w:pPr>
      <w:r>
        <w:rPr>
          <w:rStyle w:val="FootnoteReference"/>
        </w:rPr>
        <w:t>*</w:t>
      </w:r>
      <w:r>
        <w:t xml:space="preserve"> I thank Sheridan Hough for truly illuminating discussion, and </w:t>
      </w:r>
      <w:r w:rsidR="00705CFD">
        <w:t xml:space="preserve">most of all </w:t>
      </w:r>
      <w:r>
        <w:t>for writing such an important, buoyant, fruitful and insightful piece of philosophy.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1C"/>
    <w:rsid w:val="00012BBA"/>
    <w:rsid w:val="00026EE7"/>
    <w:rsid w:val="00036702"/>
    <w:rsid w:val="00040F99"/>
    <w:rsid w:val="00044F9E"/>
    <w:rsid w:val="000472C7"/>
    <w:rsid w:val="000764E8"/>
    <w:rsid w:val="00086AD6"/>
    <w:rsid w:val="00090A4D"/>
    <w:rsid w:val="000A04BE"/>
    <w:rsid w:val="000A1AEC"/>
    <w:rsid w:val="000B5C35"/>
    <w:rsid w:val="000C033D"/>
    <w:rsid w:val="000D1E6A"/>
    <w:rsid w:val="00124B14"/>
    <w:rsid w:val="00133BDD"/>
    <w:rsid w:val="00142FB9"/>
    <w:rsid w:val="00150929"/>
    <w:rsid w:val="001553BA"/>
    <w:rsid w:val="00156ADE"/>
    <w:rsid w:val="00174B8B"/>
    <w:rsid w:val="0017699A"/>
    <w:rsid w:val="00177BB1"/>
    <w:rsid w:val="001952CC"/>
    <w:rsid w:val="001A2755"/>
    <w:rsid w:val="001D1B3E"/>
    <w:rsid w:val="001F11C3"/>
    <w:rsid w:val="002021A5"/>
    <w:rsid w:val="002046C6"/>
    <w:rsid w:val="00206C61"/>
    <w:rsid w:val="00207F11"/>
    <w:rsid w:val="00210492"/>
    <w:rsid w:val="002104CF"/>
    <w:rsid w:val="002166A9"/>
    <w:rsid w:val="00220846"/>
    <w:rsid w:val="00236A15"/>
    <w:rsid w:val="00243E33"/>
    <w:rsid w:val="00253361"/>
    <w:rsid w:val="002656FF"/>
    <w:rsid w:val="002879C3"/>
    <w:rsid w:val="00292F66"/>
    <w:rsid w:val="00292FEC"/>
    <w:rsid w:val="002A22A5"/>
    <w:rsid w:val="002A6960"/>
    <w:rsid w:val="002B0CD5"/>
    <w:rsid w:val="002B651C"/>
    <w:rsid w:val="002E6352"/>
    <w:rsid w:val="002F3980"/>
    <w:rsid w:val="002F3FEB"/>
    <w:rsid w:val="002F589B"/>
    <w:rsid w:val="002F5E0C"/>
    <w:rsid w:val="00302193"/>
    <w:rsid w:val="00324041"/>
    <w:rsid w:val="00326F29"/>
    <w:rsid w:val="003303D9"/>
    <w:rsid w:val="00336D4A"/>
    <w:rsid w:val="00341AC8"/>
    <w:rsid w:val="0034376D"/>
    <w:rsid w:val="003446C2"/>
    <w:rsid w:val="00352900"/>
    <w:rsid w:val="00354F7D"/>
    <w:rsid w:val="00360212"/>
    <w:rsid w:val="0037235E"/>
    <w:rsid w:val="00374A21"/>
    <w:rsid w:val="00397721"/>
    <w:rsid w:val="003A3169"/>
    <w:rsid w:val="004026A6"/>
    <w:rsid w:val="004071C4"/>
    <w:rsid w:val="00413760"/>
    <w:rsid w:val="00417FA0"/>
    <w:rsid w:val="00426A48"/>
    <w:rsid w:val="00454CA7"/>
    <w:rsid w:val="004776F3"/>
    <w:rsid w:val="004800BB"/>
    <w:rsid w:val="00482E7E"/>
    <w:rsid w:val="00492B44"/>
    <w:rsid w:val="004A739B"/>
    <w:rsid w:val="004A797C"/>
    <w:rsid w:val="004B5A99"/>
    <w:rsid w:val="004C0E6D"/>
    <w:rsid w:val="004C2F97"/>
    <w:rsid w:val="004C6C1C"/>
    <w:rsid w:val="004D761C"/>
    <w:rsid w:val="004E7982"/>
    <w:rsid w:val="004F7431"/>
    <w:rsid w:val="0050239C"/>
    <w:rsid w:val="005247EB"/>
    <w:rsid w:val="0053692F"/>
    <w:rsid w:val="00552364"/>
    <w:rsid w:val="005545CC"/>
    <w:rsid w:val="00562C2E"/>
    <w:rsid w:val="00576042"/>
    <w:rsid w:val="00591A4C"/>
    <w:rsid w:val="00595B25"/>
    <w:rsid w:val="005A480A"/>
    <w:rsid w:val="005B23B2"/>
    <w:rsid w:val="005B6260"/>
    <w:rsid w:val="005B6354"/>
    <w:rsid w:val="005C7AFD"/>
    <w:rsid w:val="005D529C"/>
    <w:rsid w:val="005F3C63"/>
    <w:rsid w:val="0060264D"/>
    <w:rsid w:val="00607EAC"/>
    <w:rsid w:val="0061012C"/>
    <w:rsid w:val="006165DF"/>
    <w:rsid w:val="006301C0"/>
    <w:rsid w:val="00641E72"/>
    <w:rsid w:val="006515F8"/>
    <w:rsid w:val="006A0E95"/>
    <w:rsid w:val="006A5E08"/>
    <w:rsid w:val="006B0F97"/>
    <w:rsid w:val="006B2A8C"/>
    <w:rsid w:val="006D02D1"/>
    <w:rsid w:val="006D0403"/>
    <w:rsid w:val="006D779C"/>
    <w:rsid w:val="006E46EB"/>
    <w:rsid w:val="006F6DBE"/>
    <w:rsid w:val="00703C68"/>
    <w:rsid w:val="00705CFD"/>
    <w:rsid w:val="007105B2"/>
    <w:rsid w:val="00710B26"/>
    <w:rsid w:val="00735F25"/>
    <w:rsid w:val="00757A1F"/>
    <w:rsid w:val="00764B53"/>
    <w:rsid w:val="00765E34"/>
    <w:rsid w:val="00772E5B"/>
    <w:rsid w:val="007A2399"/>
    <w:rsid w:val="007A4595"/>
    <w:rsid w:val="007A51BF"/>
    <w:rsid w:val="007A548A"/>
    <w:rsid w:val="007A649E"/>
    <w:rsid w:val="007B13A9"/>
    <w:rsid w:val="007C25EB"/>
    <w:rsid w:val="007F2F52"/>
    <w:rsid w:val="007F324E"/>
    <w:rsid w:val="007F34F2"/>
    <w:rsid w:val="0080116B"/>
    <w:rsid w:val="00803AB6"/>
    <w:rsid w:val="00806F00"/>
    <w:rsid w:val="008072C9"/>
    <w:rsid w:val="00842995"/>
    <w:rsid w:val="008435BD"/>
    <w:rsid w:val="0085342A"/>
    <w:rsid w:val="008540B9"/>
    <w:rsid w:val="0085548B"/>
    <w:rsid w:val="0086054D"/>
    <w:rsid w:val="00864360"/>
    <w:rsid w:val="008660DB"/>
    <w:rsid w:val="00872F39"/>
    <w:rsid w:val="008873F9"/>
    <w:rsid w:val="008B40B8"/>
    <w:rsid w:val="008B63B0"/>
    <w:rsid w:val="008C5D2E"/>
    <w:rsid w:val="008D4BC9"/>
    <w:rsid w:val="008E48E8"/>
    <w:rsid w:val="008F2B13"/>
    <w:rsid w:val="00904F65"/>
    <w:rsid w:val="009055C0"/>
    <w:rsid w:val="00911878"/>
    <w:rsid w:val="009154BB"/>
    <w:rsid w:val="00923A34"/>
    <w:rsid w:val="0094639E"/>
    <w:rsid w:val="00961AA4"/>
    <w:rsid w:val="009625B0"/>
    <w:rsid w:val="00991867"/>
    <w:rsid w:val="00992FC2"/>
    <w:rsid w:val="009A3150"/>
    <w:rsid w:val="009A6711"/>
    <w:rsid w:val="009B07C9"/>
    <w:rsid w:val="009C104E"/>
    <w:rsid w:val="009C3A34"/>
    <w:rsid w:val="009C5F1A"/>
    <w:rsid w:val="009F2C6D"/>
    <w:rsid w:val="009F5974"/>
    <w:rsid w:val="00A17FE4"/>
    <w:rsid w:val="00A27C58"/>
    <w:rsid w:val="00A32654"/>
    <w:rsid w:val="00A51673"/>
    <w:rsid w:val="00A60467"/>
    <w:rsid w:val="00A77B78"/>
    <w:rsid w:val="00A83FCE"/>
    <w:rsid w:val="00A866DE"/>
    <w:rsid w:val="00AA0F7D"/>
    <w:rsid w:val="00AA52CD"/>
    <w:rsid w:val="00AB078A"/>
    <w:rsid w:val="00AC456D"/>
    <w:rsid w:val="00AD5483"/>
    <w:rsid w:val="00AE64AC"/>
    <w:rsid w:val="00AE786F"/>
    <w:rsid w:val="00AF276E"/>
    <w:rsid w:val="00AF796D"/>
    <w:rsid w:val="00B073F0"/>
    <w:rsid w:val="00B14824"/>
    <w:rsid w:val="00B1668E"/>
    <w:rsid w:val="00B20E04"/>
    <w:rsid w:val="00B2277D"/>
    <w:rsid w:val="00B2461E"/>
    <w:rsid w:val="00B31CF0"/>
    <w:rsid w:val="00B31FDC"/>
    <w:rsid w:val="00B346C0"/>
    <w:rsid w:val="00B5669C"/>
    <w:rsid w:val="00B63623"/>
    <w:rsid w:val="00B70338"/>
    <w:rsid w:val="00B70C1F"/>
    <w:rsid w:val="00B841C8"/>
    <w:rsid w:val="00BB0282"/>
    <w:rsid w:val="00BB1B41"/>
    <w:rsid w:val="00BC07A7"/>
    <w:rsid w:val="00BE4D28"/>
    <w:rsid w:val="00BF3460"/>
    <w:rsid w:val="00BF6D02"/>
    <w:rsid w:val="00C0345F"/>
    <w:rsid w:val="00C10358"/>
    <w:rsid w:val="00C2771E"/>
    <w:rsid w:val="00C342A2"/>
    <w:rsid w:val="00C351EE"/>
    <w:rsid w:val="00C35BC5"/>
    <w:rsid w:val="00C42FCB"/>
    <w:rsid w:val="00C4475F"/>
    <w:rsid w:val="00C52D0E"/>
    <w:rsid w:val="00C5528C"/>
    <w:rsid w:val="00C63374"/>
    <w:rsid w:val="00C65323"/>
    <w:rsid w:val="00C719B4"/>
    <w:rsid w:val="00C73934"/>
    <w:rsid w:val="00C75E42"/>
    <w:rsid w:val="00C765D5"/>
    <w:rsid w:val="00CA6489"/>
    <w:rsid w:val="00CB00A6"/>
    <w:rsid w:val="00CB37BB"/>
    <w:rsid w:val="00CB737D"/>
    <w:rsid w:val="00CE0F67"/>
    <w:rsid w:val="00CE2B0E"/>
    <w:rsid w:val="00CF73B7"/>
    <w:rsid w:val="00CF7CD4"/>
    <w:rsid w:val="00D04D63"/>
    <w:rsid w:val="00D1270C"/>
    <w:rsid w:val="00D30794"/>
    <w:rsid w:val="00D33545"/>
    <w:rsid w:val="00D42EE0"/>
    <w:rsid w:val="00D44F15"/>
    <w:rsid w:val="00D54CE1"/>
    <w:rsid w:val="00D834F8"/>
    <w:rsid w:val="00DB6E97"/>
    <w:rsid w:val="00DC12E6"/>
    <w:rsid w:val="00DC28DC"/>
    <w:rsid w:val="00DF2443"/>
    <w:rsid w:val="00DF29DF"/>
    <w:rsid w:val="00DF2FBA"/>
    <w:rsid w:val="00E05E51"/>
    <w:rsid w:val="00E05EBF"/>
    <w:rsid w:val="00E158D6"/>
    <w:rsid w:val="00E546D3"/>
    <w:rsid w:val="00E60C25"/>
    <w:rsid w:val="00E6480B"/>
    <w:rsid w:val="00E742C3"/>
    <w:rsid w:val="00E75623"/>
    <w:rsid w:val="00E77785"/>
    <w:rsid w:val="00E81264"/>
    <w:rsid w:val="00E824AE"/>
    <w:rsid w:val="00E931C9"/>
    <w:rsid w:val="00E95164"/>
    <w:rsid w:val="00EB0393"/>
    <w:rsid w:val="00EB1DD9"/>
    <w:rsid w:val="00EB3AED"/>
    <w:rsid w:val="00ED32FD"/>
    <w:rsid w:val="00ED68F8"/>
    <w:rsid w:val="00EE0298"/>
    <w:rsid w:val="00EE083B"/>
    <w:rsid w:val="00EE5471"/>
    <w:rsid w:val="00EF4EC9"/>
    <w:rsid w:val="00F116EB"/>
    <w:rsid w:val="00F13133"/>
    <w:rsid w:val="00F24C22"/>
    <w:rsid w:val="00F27846"/>
    <w:rsid w:val="00F43ABB"/>
    <w:rsid w:val="00F52D50"/>
    <w:rsid w:val="00F535D8"/>
    <w:rsid w:val="00F80535"/>
    <w:rsid w:val="00FB36A3"/>
    <w:rsid w:val="00FC4525"/>
    <w:rsid w:val="00FE20D1"/>
    <w:rsid w:val="00FE4E18"/>
    <w:rsid w:val="00FF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EEF3D"/>
  <w14:defaultImageDpi w14:val="300"/>
  <w15:docId w15:val="{31092F66-ECBE-A946-855F-ADD524F7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4D28"/>
    <w:pPr>
      <w:tabs>
        <w:tab w:val="center" w:pos="4320"/>
        <w:tab w:val="right" w:pos="8640"/>
      </w:tabs>
    </w:pPr>
  </w:style>
  <w:style w:type="character" w:customStyle="1" w:styleId="FooterChar">
    <w:name w:val="Footer Char"/>
    <w:basedOn w:val="DefaultParagraphFont"/>
    <w:link w:val="Footer"/>
    <w:uiPriority w:val="99"/>
    <w:rsid w:val="00BE4D28"/>
  </w:style>
  <w:style w:type="character" w:styleId="PageNumber">
    <w:name w:val="page number"/>
    <w:basedOn w:val="DefaultParagraphFont"/>
    <w:uiPriority w:val="99"/>
    <w:semiHidden/>
    <w:unhideWhenUsed/>
    <w:rsid w:val="00BE4D28"/>
  </w:style>
  <w:style w:type="paragraph" w:styleId="FootnoteText">
    <w:name w:val="footnote text"/>
    <w:basedOn w:val="Normal"/>
    <w:link w:val="FootnoteTextChar"/>
    <w:uiPriority w:val="99"/>
    <w:unhideWhenUsed/>
    <w:rsid w:val="00B70338"/>
  </w:style>
  <w:style w:type="character" w:customStyle="1" w:styleId="FootnoteTextChar">
    <w:name w:val="Footnote Text Char"/>
    <w:basedOn w:val="DefaultParagraphFont"/>
    <w:link w:val="FootnoteText"/>
    <w:uiPriority w:val="99"/>
    <w:rsid w:val="00B70338"/>
  </w:style>
  <w:style w:type="character" w:styleId="FootnoteReference">
    <w:name w:val="footnote reference"/>
    <w:basedOn w:val="DefaultParagraphFont"/>
    <w:uiPriority w:val="99"/>
    <w:unhideWhenUsed/>
    <w:rsid w:val="00B70338"/>
    <w:rPr>
      <w:vertAlign w:val="superscript"/>
    </w:rPr>
  </w:style>
  <w:style w:type="paragraph" w:styleId="Header">
    <w:name w:val="header"/>
    <w:basedOn w:val="Normal"/>
    <w:link w:val="HeaderChar"/>
    <w:uiPriority w:val="99"/>
    <w:unhideWhenUsed/>
    <w:rsid w:val="00B073F0"/>
    <w:pPr>
      <w:tabs>
        <w:tab w:val="center" w:pos="4320"/>
        <w:tab w:val="right" w:pos="8640"/>
      </w:tabs>
    </w:pPr>
  </w:style>
  <w:style w:type="character" w:customStyle="1" w:styleId="HeaderChar">
    <w:name w:val="Header Char"/>
    <w:basedOn w:val="DefaultParagraphFont"/>
    <w:link w:val="Header"/>
    <w:uiPriority w:val="99"/>
    <w:rsid w:val="00B073F0"/>
  </w:style>
  <w:style w:type="character" w:styleId="Hyperlink">
    <w:name w:val="Hyperlink"/>
    <w:basedOn w:val="DefaultParagraphFont"/>
    <w:uiPriority w:val="99"/>
    <w:unhideWhenUsed/>
    <w:rsid w:val="00CF73B7"/>
    <w:rPr>
      <w:color w:val="0000FF"/>
      <w:u w:val="single"/>
    </w:rPr>
  </w:style>
  <w:style w:type="character" w:styleId="UnresolvedMention">
    <w:name w:val="Unresolved Mention"/>
    <w:basedOn w:val="DefaultParagraphFont"/>
    <w:uiPriority w:val="99"/>
    <w:semiHidden/>
    <w:unhideWhenUsed/>
    <w:rsid w:val="00CF73B7"/>
    <w:rPr>
      <w:color w:val="605E5C"/>
      <w:shd w:val="clear" w:color="auto" w:fill="E1DFDD"/>
    </w:rPr>
  </w:style>
  <w:style w:type="character" w:styleId="FollowedHyperlink">
    <w:name w:val="FollowedHyperlink"/>
    <w:basedOn w:val="DefaultParagraphFont"/>
    <w:uiPriority w:val="99"/>
    <w:semiHidden/>
    <w:unhideWhenUsed/>
    <w:rsid w:val="0017699A"/>
    <w:rPr>
      <w:color w:val="800080" w:themeColor="followedHyperlink"/>
      <w:u w:val="single"/>
    </w:rPr>
  </w:style>
  <w:style w:type="paragraph" w:customStyle="1" w:styleId="volume-issue">
    <w:name w:val="volume-issue"/>
    <w:basedOn w:val="Normal"/>
    <w:rsid w:val="0017699A"/>
    <w:pPr>
      <w:spacing w:before="100" w:beforeAutospacing="1" w:after="100" w:afterAutospacing="1"/>
    </w:pPr>
    <w:rPr>
      <w:rFonts w:ascii="Times New Roman" w:eastAsia="Times New Roman" w:hAnsi="Times New Roman" w:cs="Times New Roman"/>
    </w:rPr>
  </w:style>
  <w:style w:type="character" w:customStyle="1" w:styleId="val">
    <w:name w:val="val"/>
    <w:basedOn w:val="DefaultParagraphFont"/>
    <w:rsid w:val="0017699A"/>
  </w:style>
  <w:style w:type="paragraph" w:styleId="NormalWeb">
    <w:name w:val="Normal (Web)"/>
    <w:basedOn w:val="Normal"/>
    <w:uiPriority w:val="99"/>
    <w:semiHidden/>
    <w:unhideWhenUsed/>
    <w:rsid w:val="0017699A"/>
    <w:pPr>
      <w:spacing w:before="100" w:beforeAutospacing="1" w:after="100" w:afterAutospacing="1"/>
    </w:pPr>
    <w:rPr>
      <w:rFonts w:ascii="Times New Roman" w:eastAsia="Times New Roman" w:hAnsi="Times New Roman" w:cs="Times New Roman"/>
    </w:rPr>
  </w:style>
  <w:style w:type="paragraph" w:customStyle="1" w:styleId="page-range">
    <w:name w:val="page-range"/>
    <w:basedOn w:val="Normal"/>
    <w:rsid w:val="001769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8727">
      <w:bodyDiv w:val="1"/>
      <w:marLeft w:val="0"/>
      <w:marRight w:val="0"/>
      <w:marTop w:val="0"/>
      <w:marBottom w:val="0"/>
      <w:divBdr>
        <w:top w:val="none" w:sz="0" w:space="0" w:color="auto"/>
        <w:left w:val="none" w:sz="0" w:space="0" w:color="auto"/>
        <w:bottom w:val="none" w:sz="0" w:space="0" w:color="auto"/>
        <w:right w:val="none" w:sz="0" w:space="0" w:color="auto"/>
      </w:divBdr>
    </w:div>
    <w:div w:id="1060053724">
      <w:bodyDiv w:val="1"/>
      <w:marLeft w:val="0"/>
      <w:marRight w:val="0"/>
      <w:marTop w:val="0"/>
      <w:marBottom w:val="0"/>
      <w:divBdr>
        <w:top w:val="none" w:sz="0" w:space="0" w:color="auto"/>
        <w:left w:val="none" w:sz="0" w:space="0" w:color="auto"/>
        <w:bottom w:val="none" w:sz="0" w:space="0" w:color="auto"/>
        <w:right w:val="none" w:sz="0" w:space="0" w:color="auto"/>
      </w:divBdr>
    </w:div>
    <w:div w:id="1568034729">
      <w:bodyDiv w:val="1"/>
      <w:marLeft w:val="0"/>
      <w:marRight w:val="0"/>
      <w:marTop w:val="0"/>
      <w:marBottom w:val="0"/>
      <w:divBdr>
        <w:top w:val="none" w:sz="0" w:space="0" w:color="auto"/>
        <w:left w:val="none" w:sz="0" w:space="0" w:color="auto"/>
        <w:bottom w:val="none" w:sz="0" w:space="0" w:color="auto"/>
        <w:right w:val="none" w:sz="0" w:space="0" w:color="auto"/>
      </w:divBdr>
    </w:div>
    <w:div w:id="2069987152">
      <w:bodyDiv w:val="1"/>
      <w:marLeft w:val="0"/>
      <w:marRight w:val="0"/>
      <w:marTop w:val="0"/>
      <w:marBottom w:val="0"/>
      <w:divBdr>
        <w:top w:val="none" w:sz="0" w:space="0" w:color="auto"/>
        <w:left w:val="none" w:sz="0" w:space="0" w:color="auto"/>
        <w:bottom w:val="none" w:sz="0" w:space="0" w:color="auto"/>
        <w:right w:val="none" w:sz="0" w:space="0" w:color="auto"/>
      </w:divBdr>
    </w:div>
    <w:div w:id="2082172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ezp-prod1.hul.harvard.edu/10.1111/heyj.1262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Siegel</dc:creator>
  <cp:keywords/>
  <dc:description/>
  <cp:lastModifiedBy>Siegel, Susanna</cp:lastModifiedBy>
  <cp:revision>32</cp:revision>
  <dcterms:created xsi:type="dcterms:W3CDTF">2021-02-13T20:45:00Z</dcterms:created>
  <dcterms:modified xsi:type="dcterms:W3CDTF">2021-02-14T17:58:00Z</dcterms:modified>
</cp:coreProperties>
</file>