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564D" w14:textId="685BA093" w:rsidR="000A45EF" w:rsidRDefault="000A45EF">
      <w:pPr>
        <w:rPr>
          <w:rFonts w:ascii="Times" w:hAnsi="Times"/>
          <w:b/>
          <w:bCs/>
          <w:lang w:val="en-US"/>
        </w:rPr>
      </w:pPr>
      <w:r w:rsidRPr="00042102">
        <w:rPr>
          <w:rFonts w:ascii="Times" w:hAnsi="Times"/>
          <w:b/>
          <w:bCs/>
          <w:lang w:val="en-US"/>
        </w:rPr>
        <w:t xml:space="preserve">Privacy, </w:t>
      </w:r>
      <w:r w:rsidR="005F24CA" w:rsidRPr="00042102">
        <w:rPr>
          <w:rFonts w:ascii="Times" w:hAnsi="Times"/>
          <w:b/>
          <w:bCs/>
          <w:lang w:val="en-US"/>
        </w:rPr>
        <w:t>autonomy,</w:t>
      </w:r>
      <w:r w:rsidRPr="00042102">
        <w:rPr>
          <w:rFonts w:ascii="Times" w:hAnsi="Times"/>
          <w:b/>
          <w:bCs/>
          <w:lang w:val="en-US"/>
        </w:rPr>
        <w:t xml:space="preserve"> and </w:t>
      </w:r>
      <w:r w:rsidR="005F24CA" w:rsidRPr="00042102">
        <w:rPr>
          <w:rFonts w:ascii="Times" w:hAnsi="Times"/>
          <w:b/>
          <w:bCs/>
          <w:lang w:val="en-US"/>
        </w:rPr>
        <w:t>direct-to-consumer genetic t</w:t>
      </w:r>
      <w:r w:rsidRPr="00042102">
        <w:rPr>
          <w:rFonts w:ascii="Times" w:hAnsi="Times"/>
          <w:b/>
          <w:bCs/>
          <w:lang w:val="en-US"/>
        </w:rPr>
        <w:t>esting</w:t>
      </w:r>
      <w:r w:rsidR="00237364">
        <w:rPr>
          <w:rFonts w:ascii="Times" w:hAnsi="Times"/>
          <w:b/>
          <w:bCs/>
          <w:lang w:val="en-US"/>
        </w:rPr>
        <w:t>: a response to Vayena</w:t>
      </w:r>
    </w:p>
    <w:p w14:paraId="6D015E12" w14:textId="77777777" w:rsidR="007B538C" w:rsidRDefault="007B538C">
      <w:pPr>
        <w:rPr>
          <w:rFonts w:ascii="Times" w:hAnsi="Times"/>
          <w:lang w:val="en-US"/>
        </w:rPr>
      </w:pPr>
    </w:p>
    <w:p w14:paraId="3C3C5F82" w14:textId="4EAF78AF" w:rsidR="007B538C" w:rsidRDefault="007B538C">
      <w:pPr>
        <w:rPr>
          <w:rFonts w:ascii="Times" w:hAnsi="Times"/>
          <w:b/>
          <w:bCs/>
          <w:lang w:val="en-US"/>
        </w:rPr>
      </w:pPr>
      <w:r>
        <w:rPr>
          <w:rFonts w:ascii="Times" w:hAnsi="Times"/>
          <w:b/>
          <w:bCs/>
          <w:lang w:val="en-US"/>
        </w:rPr>
        <w:t>Abstract:</w:t>
      </w:r>
    </w:p>
    <w:p w14:paraId="6295929B" w14:textId="77777777" w:rsidR="007B538C" w:rsidRPr="007B538C" w:rsidRDefault="007B538C" w:rsidP="007B538C">
      <w:pPr>
        <w:rPr>
          <w:rFonts w:ascii="Times" w:hAnsi="Times"/>
        </w:rPr>
      </w:pPr>
      <w:r w:rsidRPr="007B538C">
        <w:rPr>
          <w:rFonts w:ascii="Times" w:hAnsi="Times"/>
        </w:rPr>
        <w:t>In Vayena’s article ‘Direct-to-consumer genomics on the scales of autonomy’, she claims that there may be a strong autonomy-based argument for permitting DTC genomic services. In this response, I point out how the diminishment of one's genetic privacy can cause a relevant autonomy-related harm which must be balanced against the autonomy-related gains DTC services provide. By drawing on the conceptual connections between privacy and the Razian conception of autonomy, I show that DTC genetic testing may decrease the range of valuable options individuals possess, which impcats the extent to which would-be consumers can exercise their autonomy.</w:t>
      </w:r>
    </w:p>
    <w:p w14:paraId="2878C3F3" w14:textId="3C020084" w:rsidR="00900228" w:rsidRDefault="00900228">
      <w:pPr>
        <w:rPr>
          <w:rFonts w:ascii="Times" w:hAnsi="Times"/>
          <w:lang w:val="en-US"/>
        </w:rPr>
      </w:pPr>
    </w:p>
    <w:p w14:paraId="33DAAD7B" w14:textId="1DCE4FFE" w:rsidR="00900228" w:rsidRDefault="00900228">
      <w:pPr>
        <w:rPr>
          <w:rFonts w:ascii="Times" w:hAnsi="Times"/>
          <w:lang w:val="en-US"/>
        </w:rPr>
      </w:pPr>
      <w:r>
        <w:rPr>
          <w:rFonts w:ascii="Times" w:hAnsi="Times"/>
          <w:lang w:val="en-US"/>
        </w:rPr>
        <w:t>---</w:t>
      </w:r>
    </w:p>
    <w:p w14:paraId="0EDF9759" w14:textId="77777777" w:rsidR="00900228" w:rsidRDefault="00900228">
      <w:pPr>
        <w:rPr>
          <w:rFonts w:ascii="Times" w:hAnsi="Times"/>
          <w:lang w:val="en-US"/>
        </w:rPr>
      </w:pPr>
    </w:p>
    <w:p w14:paraId="1D3C68BE" w14:textId="4CD99A1C" w:rsidR="009C01E0" w:rsidRPr="00042102" w:rsidRDefault="003B41CB">
      <w:pPr>
        <w:rPr>
          <w:rFonts w:ascii="Times" w:hAnsi="Times"/>
          <w:lang w:val="en-US"/>
        </w:rPr>
      </w:pPr>
      <w:r w:rsidRPr="003B41CB">
        <w:rPr>
          <w:rFonts w:ascii="Times" w:hAnsi="Times"/>
          <w:lang w:val="en-US"/>
        </w:rPr>
        <w:t xml:space="preserve">In </w:t>
      </w:r>
      <w:proofErr w:type="spellStart"/>
      <w:r w:rsidRPr="003B41CB">
        <w:rPr>
          <w:rFonts w:ascii="Times" w:hAnsi="Times"/>
          <w:lang w:val="en-US"/>
        </w:rPr>
        <w:t>Vayena’s</w:t>
      </w:r>
      <w:proofErr w:type="spellEnd"/>
      <w:r w:rsidRPr="003B41CB">
        <w:rPr>
          <w:rFonts w:ascii="Times" w:hAnsi="Times"/>
          <w:lang w:val="en-US"/>
        </w:rPr>
        <w:t xml:space="preserve"> article ‘Direct-to-consumer genomics on the scales of autonomy’, she claims that there may be a strong autonomy-based argument for permitting DTC genomic services.</w:t>
      </w:r>
      <w:r w:rsidR="006F39D7">
        <w:rPr>
          <w:rStyle w:val="Eindnootmarkering"/>
          <w:rFonts w:ascii="Times" w:hAnsi="Times"/>
          <w:lang w:val="en-US"/>
        </w:rPr>
        <w:endnoteReference w:id="1"/>
      </w:r>
      <w:r>
        <w:rPr>
          <w:rFonts w:ascii="Times" w:hAnsi="Times"/>
          <w:lang w:val="en-US"/>
        </w:rPr>
        <w:t xml:space="preserve"> </w:t>
      </w:r>
      <w:r w:rsidR="0056700F" w:rsidRPr="00042102">
        <w:rPr>
          <w:rFonts w:ascii="Times" w:hAnsi="Times"/>
          <w:lang w:val="en-US"/>
        </w:rPr>
        <w:t>This point was made in the context of controversies surrounding a cease-and-desist order made by the FDA to 23</w:t>
      </w:r>
      <w:r w:rsidR="00E96E36">
        <w:rPr>
          <w:rFonts w:ascii="Times" w:hAnsi="Times"/>
          <w:lang w:val="en-US"/>
        </w:rPr>
        <w:t>and</w:t>
      </w:r>
      <w:r w:rsidR="0056700F" w:rsidRPr="00042102">
        <w:rPr>
          <w:rFonts w:ascii="Times" w:hAnsi="Times"/>
          <w:lang w:val="en-US"/>
        </w:rPr>
        <w:t xml:space="preserve">Me, a </w:t>
      </w:r>
      <w:r w:rsidR="0076585A">
        <w:rPr>
          <w:rFonts w:ascii="Times" w:hAnsi="Times"/>
          <w:lang w:val="en-US"/>
        </w:rPr>
        <w:t xml:space="preserve">popular </w:t>
      </w:r>
      <w:r w:rsidR="0056700F" w:rsidRPr="00042102">
        <w:rPr>
          <w:rFonts w:ascii="Times" w:hAnsi="Times"/>
          <w:lang w:val="en-US"/>
        </w:rPr>
        <w:t>provider of DTC genomic services.</w:t>
      </w:r>
      <w:r w:rsidR="009C31DE">
        <w:rPr>
          <w:rStyle w:val="Eindnootmarkering"/>
          <w:rFonts w:ascii="Times" w:hAnsi="Times"/>
          <w:lang w:val="en-US"/>
        </w:rPr>
        <w:endnoteReference w:id="2"/>
      </w:r>
      <w:r w:rsidR="00BA2D0A" w:rsidRPr="00042102">
        <w:rPr>
          <w:rFonts w:ascii="Times" w:hAnsi="Times"/>
          <w:lang w:val="en-US"/>
        </w:rPr>
        <w:t xml:space="preserve"> </w:t>
      </w:r>
      <w:r w:rsidR="001B594D" w:rsidRPr="00042102">
        <w:rPr>
          <w:rFonts w:ascii="Times" w:hAnsi="Times"/>
          <w:lang w:val="en-US"/>
        </w:rPr>
        <w:t xml:space="preserve">The worries that many had (and perhaps still have today) revolved around whether DTC testing generated meaningful medical options which </w:t>
      </w:r>
      <w:r w:rsidR="009C01E0" w:rsidRPr="00042102">
        <w:rPr>
          <w:rFonts w:ascii="Times" w:hAnsi="Times"/>
          <w:lang w:val="en-US"/>
        </w:rPr>
        <w:t>the average</w:t>
      </w:r>
      <w:r w:rsidR="001B594D" w:rsidRPr="00042102">
        <w:rPr>
          <w:rFonts w:ascii="Times" w:hAnsi="Times"/>
          <w:lang w:val="en-US"/>
        </w:rPr>
        <w:t xml:space="preserve"> consumer could </w:t>
      </w:r>
      <w:r w:rsidR="009C01E0" w:rsidRPr="00042102">
        <w:rPr>
          <w:rFonts w:ascii="Times" w:hAnsi="Times"/>
          <w:lang w:val="en-US"/>
        </w:rPr>
        <w:t xml:space="preserve">safely and reasonably </w:t>
      </w:r>
      <w:r w:rsidR="001B594D" w:rsidRPr="00042102">
        <w:rPr>
          <w:rFonts w:ascii="Times" w:hAnsi="Times"/>
          <w:lang w:val="en-US"/>
        </w:rPr>
        <w:t xml:space="preserve">engage with. </w:t>
      </w:r>
      <w:r w:rsidR="006A28F7" w:rsidRPr="00042102">
        <w:rPr>
          <w:rFonts w:ascii="Times" w:hAnsi="Times"/>
          <w:lang w:val="en-US"/>
        </w:rPr>
        <w:t xml:space="preserve">While there is some contention about whether the information these tests provide is valuable and medically actionable, Vayena points out that there are “plural utilities” to providing these services. </w:t>
      </w:r>
      <w:r w:rsidR="00812A8C" w:rsidRPr="00042102">
        <w:rPr>
          <w:rFonts w:ascii="Times" w:hAnsi="Times"/>
          <w:lang w:val="en-US"/>
        </w:rPr>
        <w:t xml:space="preserve">It would be myopic to focus solely on the medical actionability of these tests and how that bears on the value of these services. </w:t>
      </w:r>
      <w:r w:rsidR="007209B2" w:rsidRPr="00042102">
        <w:rPr>
          <w:rFonts w:ascii="Times" w:hAnsi="Times"/>
          <w:lang w:val="en-US"/>
        </w:rPr>
        <w:t>Th</w:t>
      </w:r>
      <w:r w:rsidR="002A1F4D" w:rsidRPr="00042102">
        <w:rPr>
          <w:rFonts w:ascii="Times" w:hAnsi="Times"/>
          <w:lang w:val="en-US"/>
        </w:rPr>
        <w:t>ere</w:t>
      </w:r>
      <w:r w:rsidR="007209B2" w:rsidRPr="00042102">
        <w:rPr>
          <w:rFonts w:ascii="Times" w:hAnsi="Times"/>
          <w:lang w:val="en-US"/>
        </w:rPr>
        <w:t xml:space="preserve"> are</w:t>
      </w:r>
      <w:r w:rsidR="002A1F4D" w:rsidRPr="00042102">
        <w:rPr>
          <w:rFonts w:ascii="Times" w:hAnsi="Times"/>
          <w:lang w:val="en-US"/>
        </w:rPr>
        <w:t xml:space="preserve"> other</w:t>
      </w:r>
      <w:r w:rsidR="007209B2" w:rsidRPr="00042102">
        <w:rPr>
          <w:rFonts w:ascii="Times" w:hAnsi="Times"/>
          <w:lang w:val="en-US"/>
        </w:rPr>
        <w:t xml:space="preserve"> ‘personal utilities’ to these services, such as indulging in one’s curiosity and </w:t>
      </w:r>
      <w:r w:rsidR="008D49D4" w:rsidRPr="00042102">
        <w:rPr>
          <w:rFonts w:ascii="Times" w:hAnsi="Times"/>
          <w:lang w:val="en-US"/>
        </w:rPr>
        <w:t>obtaining valuable certainty about whether one is likely to develop a non-preventable, non-treatable disease</w:t>
      </w:r>
      <w:r w:rsidR="001E059C" w:rsidRPr="00042102">
        <w:rPr>
          <w:rFonts w:ascii="Times" w:hAnsi="Times"/>
          <w:lang w:val="en-US"/>
        </w:rPr>
        <w:t xml:space="preserve">. </w:t>
      </w:r>
      <w:r w:rsidR="00A21CA0" w:rsidRPr="00042102">
        <w:rPr>
          <w:rFonts w:ascii="Times" w:hAnsi="Times"/>
          <w:lang w:val="en-US"/>
        </w:rPr>
        <w:t xml:space="preserve">Following a Razian account of autonomy which focuses on the availability of valuable options, Vayena claims that DTC services can actually </w:t>
      </w:r>
      <w:r w:rsidR="00A21CA0" w:rsidRPr="00042102">
        <w:rPr>
          <w:rFonts w:ascii="Times" w:hAnsi="Times"/>
          <w:i/>
          <w:iCs/>
          <w:lang w:val="en-US"/>
        </w:rPr>
        <w:t>promote</w:t>
      </w:r>
      <w:r w:rsidR="00A21CA0" w:rsidRPr="00042102">
        <w:rPr>
          <w:rFonts w:ascii="Times" w:hAnsi="Times"/>
          <w:lang w:val="en-US"/>
        </w:rPr>
        <w:t xml:space="preserve"> autonomy, understood in this sense.</w:t>
      </w:r>
      <w:r w:rsidR="004842BC" w:rsidRPr="00042102">
        <w:rPr>
          <w:rFonts w:ascii="Times" w:hAnsi="Times"/>
          <w:lang w:val="en-US"/>
        </w:rPr>
        <w:t xml:space="preserve"> </w:t>
      </w:r>
    </w:p>
    <w:p w14:paraId="2013D104" w14:textId="0C236833" w:rsidR="00193299" w:rsidRPr="00042102" w:rsidRDefault="004842BC">
      <w:pPr>
        <w:rPr>
          <w:rFonts w:ascii="Times" w:hAnsi="Times"/>
          <w:lang w:val="en-US"/>
        </w:rPr>
      </w:pPr>
      <w:r w:rsidRPr="00042102">
        <w:rPr>
          <w:rFonts w:ascii="Times" w:hAnsi="Times"/>
          <w:lang w:val="en-US"/>
        </w:rPr>
        <w:tab/>
        <w:t xml:space="preserve">My concern with </w:t>
      </w:r>
      <w:proofErr w:type="spellStart"/>
      <w:r w:rsidR="00224C28" w:rsidRPr="00042102">
        <w:rPr>
          <w:rFonts w:ascii="Times" w:hAnsi="Times"/>
          <w:lang w:val="en-US"/>
        </w:rPr>
        <w:t>Vayena’s</w:t>
      </w:r>
      <w:proofErr w:type="spellEnd"/>
      <w:r w:rsidRPr="00042102">
        <w:rPr>
          <w:rFonts w:ascii="Times" w:hAnsi="Times"/>
          <w:lang w:val="en-US"/>
        </w:rPr>
        <w:t xml:space="preserve"> argument is that it overlooks one respect in which DTC services can diminish or threaten one’s autonomy. </w:t>
      </w:r>
      <w:r w:rsidR="002C72EC" w:rsidRPr="00042102">
        <w:rPr>
          <w:rFonts w:ascii="Times" w:hAnsi="Times"/>
          <w:lang w:val="en-US"/>
        </w:rPr>
        <w:t xml:space="preserve">“Autonomy” is confusingly defined in many ways so </w:t>
      </w:r>
      <w:r w:rsidRPr="00042102">
        <w:rPr>
          <w:rFonts w:ascii="Times" w:hAnsi="Times"/>
          <w:lang w:val="en-US"/>
        </w:rPr>
        <w:t xml:space="preserve">I </w:t>
      </w:r>
      <w:r w:rsidR="002C72EC" w:rsidRPr="00042102">
        <w:rPr>
          <w:rFonts w:ascii="Times" w:hAnsi="Times"/>
          <w:lang w:val="en-US"/>
        </w:rPr>
        <w:t xml:space="preserve">want to </w:t>
      </w:r>
      <w:r w:rsidR="00F26190" w:rsidRPr="00042102">
        <w:rPr>
          <w:rFonts w:ascii="Times" w:hAnsi="Times"/>
          <w:lang w:val="en-US"/>
        </w:rPr>
        <w:t>be clear</w:t>
      </w:r>
      <w:r w:rsidRPr="00042102">
        <w:rPr>
          <w:rFonts w:ascii="Times" w:hAnsi="Times"/>
          <w:lang w:val="en-US"/>
        </w:rPr>
        <w:t xml:space="preserve"> </w:t>
      </w:r>
      <w:r w:rsidR="002C72EC" w:rsidRPr="00042102">
        <w:rPr>
          <w:rFonts w:ascii="Times" w:hAnsi="Times"/>
          <w:lang w:val="en-US"/>
        </w:rPr>
        <w:t>that my concern</w:t>
      </w:r>
      <w:r w:rsidRPr="00042102">
        <w:rPr>
          <w:rFonts w:ascii="Times" w:hAnsi="Times"/>
          <w:lang w:val="en-US"/>
        </w:rPr>
        <w:t xml:space="preserve"> </w:t>
      </w:r>
      <w:r w:rsidR="002C72EC" w:rsidRPr="00042102">
        <w:rPr>
          <w:rFonts w:ascii="Times" w:hAnsi="Times"/>
          <w:lang w:val="en-US"/>
        </w:rPr>
        <w:t>will be articulated using</w:t>
      </w:r>
      <w:r w:rsidRPr="00042102">
        <w:rPr>
          <w:rFonts w:ascii="Times" w:hAnsi="Times"/>
          <w:lang w:val="en-US"/>
        </w:rPr>
        <w:t xml:space="preserve"> the same Razian conception of autonomy that Vayena deploys in her argument. </w:t>
      </w:r>
      <w:r w:rsidR="00C85920" w:rsidRPr="00042102">
        <w:rPr>
          <w:rFonts w:ascii="Times" w:hAnsi="Times"/>
          <w:lang w:val="en-US"/>
        </w:rPr>
        <w:t xml:space="preserve">To recap, for someone to be autonomous in the Razian sense is for them to be the “part-author” of their own lives, which requires them to </w:t>
      </w:r>
      <w:r w:rsidR="00D76A0D" w:rsidRPr="00042102">
        <w:rPr>
          <w:rFonts w:ascii="Times" w:hAnsi="Times"/>
          <w:lang w:val="en-US"/>
        </w:rPr>
        <w:t xml:space="preserve">have </w:t>
      </w:r>
      <w:r w:rsidR="00C85920" w:rsidRPr="00042102">
        <w:rPr>
          <w:rFonts w:ascii="Times" w:hAnsi="Times"/>
          <w:lang w:val="en-US"/>
        </w:rPr>
        <w:t>an adequate or valuable range of options through which they can decide how to live</w:t>
      </w:r>
      <w:r w:rsidR="00914719">
        <w:rPr>
          <w:rFonts w:ascii="Times" w:hAnsi="Times"/>
          <w:lang w:val="en-US"/>
        </w:rPr>
        <w:t>.</w:t>
      </w:r>
      <w:r w:rsidR="00914719">
        <w:rPr>
          <w:rStyle w:val="Eindnootmarkering"/>
          <w:rFonts w:ascii="Times" w:hAnsi="Times"/>
          <w:lang w:val="en-US"/>
        </w:rPr>
        <w:endnoteReference w:id="3"/>
      </w:r>
      <w:r w:rsidR="00914719">
        <w:rPr>
          <w:rFonts w:ascii="Times" w:hAnsi="Times"/>
          <w:lang w:val="en-US"/>
        </w:rPr>
        <w:t xml:space="preserve"> </w:t>
      </w:r>
      <w:r w:rsidR="001A71C5" w:rsidRPr="00042102">
        <w:rPr>
          <w:rFonts w:ascii="Times" w:hAnsi="Times"/>
          <w:lang w:val="en-US"/>
        </w:rPr>
        <w:t>According to Raz, a</w:t>
      </w:r>
      <w:r w:rsidR="00D76A0D" w:rsidRPr="00042102">
        <w:rPr>
          <w:rFonts w:ascii="Times" w:hAnsi="Times"/>
          <w:lang w:val="en-US"/>
        </w:rPr>
        <w:t xml:space="preserve"> person </w:t>
      </w:r>
      <w:r w:rsidR="00C060FD">
        <w:rPr>
          <w:rFonts w:ascii="Times" w:hAnsi="Times"/>
          <w:lang w:val="en-US"/>
        </w:rPr>
        <w:t>is not autonomous if they</w:t>
      </w:r>
      <w:r w:rsidR="00D76A0D" w:rsidRPr="00042102">
        <w:rPr>
          <w:rFonts w:ascii="Times" w:hAnsi="Times"/>
          <w:lang w:val="en-US"/>
        </w:rPr>
        <w:t xml:space="preserve"> </w:t>
      </w:r>
      <w:r w:rsidR="00C060FD">
        <w:rPr>
          <w:rFonts w:ascii="Times" w:hAnsi="Times"/>
          <w:lang w:val="en-US"/>
        </w:rPr>
        <w:t>have</w:t>
      </w:r>
      <w:r w:rsidR="00D76A0D" w:rsidRPr="00042102">
        <w:rPr>
          <w:rFonts w:ascii="Times" w:hAnsi="Times"/>
          <w:lang w:val="en-US"/>
        </w:rPr>
        <w:t xml:space="preserve"> few choices available to them, only certain kinds of choices but not others</w:t>
      </w:r>
      <w:r w:rsidR="001A71C5" w:rsidRPr="00042102">
        <w:rPr>
          <w:rFonts w:ascii="Times" w:hAnsi="Times"/>
          <w:lang w:val="en-US"/>
        </w:rPr>
        <w:t>,</w:t>
      </w:r>
      <w:r w:rsidR="00D76A0D" w:rsidRPr="00042102">
        <w:rPr>
          <w:rFonts w:ascii="Times" w:hAnsi="Times"/>
          <w:lang w:val="en-US"/>
        </w:rPr>
        <w:t xml:space="preserve"> and choices that </w:t>
      </w:r>
      <w:r w:rsidR="001A71C5" w:rsidRPr="00042102">
        <w:rPr>
          <w:rFonts w:ascii="Times" w:hAnsi="Times"/>
          <w:lang w:val="en-US"/>
        </w:rPr>
        <w:t>are either trivial or horrendous in their consequences</w:t>
      </w:r>
      <w:r w:rsidR="00C060FD">
        <w:rPr>
          <w:rFonts w:ascii="Times" w:hAnsi="Times"/>
          <w:lang w:val="en-US"/>
        </w:rPr>
        <w:t xml:space="preserve">. </w:t>
      </w:r>
      <w:r w:rsidR="003E5381" w:rsidRPr="00042102">
        <w:rPr>
          <w:rFonts w:ascii="Times" w:hAnsi="Times"/>
          <w:lang w:val="en-US"/>
        </w:rPr>
        <w:t xml:space="preserve">One more interesting observation </w:t>
      </w:r>
      <w:r w:rsidR="00B03CBC" w:rsidRPr="00042102">
        <w:rPr>
          <w:rFonts w:ascii="Times" w:hAnsi="Times"/>
          <w:lang w:val="en-US"/>
        </w:rPr>
        <w:t xml:space="preserve">Raz points out is </w:t>
      </w:r>
      <w:r w:rsidR="003E5381" w:rsidRPr="00042102">
        <w:rPr>
          <w:rFonts w:ascii="Times" w:hAnsi="Times"/>
          <w:lang w:val="en-US"/>
        </w:rPr>
        <w:t xml:space="preserve">that certain choices we make can </w:t>
      </w:r>
      <w:r w:rsidR="008C6F05" w:rsidRPr="00042102">
        <w:rPr>
          <w:rFonts w:ascii="Times" w:hAnsi="Times"/>
          <w:lang w:val="en-US"/>
        </w:rPr>
        <w:t>c</w:t>
      </w:r>
      <w:r w:rsidR="003E5381" w:rsidRPr="00042102">
        <w:rPr>
          <w:rFonts w:ascii="Times" w:hAnsi="Times"/>
          <w:i/>
          <w:iCs/>
          <w:lang w:val="en-US"/>
        </w:rPr>
        <w:t>lose</w:t>
      </w:r>
      <w:r w:rsidR="003E5381" w:rsidRPr="00042102">
        <w:rPr>
          <w:rFonts w:ascii="Times" w:hAnsi="Times"/>
          <w:lang w:val="en-US"/>
        </w:rPr>
        <w:t xml:space="preserve"> options that were previously open to us. </w:t>
      </w:r>
      <w:r w:rsidR="000D1AD0" w:rsidRPr="00042102">
        <w:rPr>
          <w:rFonts w:ascii="Times" w:hAnsi="Times"/>
          <w:lang w:val="en-US"/>
        </w:rPr>
        <w:t xml:space="preserve">A person might </w:t>
      </w:r>
      <w:r w:rsidR="008C6F05" w:rsidRPr="00042102">
        <w:rPr>
          <w:rFonts w:ascii="Times" w:hAnsi="Times"/>
          <w:lang w:val="en-US"/>
        </w:rPr>
        <w:t xml:space="preserve">make a decision </w:t>
      </w:r>
      <w:r w:rsidR="000D1AD0" w:rsidRPr="00042102">
        <w:rPr>
          <w:rFonts w:ascii="Times" w:hAnsi="Times"/>
          <w:i/>
          <w:iCs/>
          <w:lang w:val="en-US"/>
        </w:rPr>
        <w:t>now</w:t>
      </w:r>
      <w:r w:rsidR="000D1AD0" w:rsidRPr="00042102">
        <w:rPr>
          <w:rFonts w:ascii="Times" w:hAnsi="Times"/>
          <w:lang w:val="en-US"/>
        </w:rPr>
        <w:t xml:space="preserve"> that limits their own autonomy in the </w:t>
      </w:r>
      <w:r w:rsidR="000D1AD0" w:rsidRPr="00042102">
        <w:rPr>
          <w:rFonts w:ascii="Times" w:hAnsi="Times"/>
          <w:i/>
          <w:iCs/>
          <w:lang w:val="en-US"/>
        </w:rPr>
        <w:t>future</w:t>
      </w:r>
      <w:r w:rsidR="000D1AD0" w:rsidRPr="00042102">
        <w:rPr>
          <w:rFonts w:ascii="Times" w:hAnsi="Times"/>
          <w:lang w:val="en-US"/>
        </w:rPr>
        <w:t xml:space="preserve">. </w:t>
      </w:r>
      <w:r w:rsidR="008C6F05" w:rsidRPr="00042102">
        <w:rPr>
          <w:rFonts w:ascii="Times" w:hAnsi="Times"/>
          <w:lang w:val="en-US"/>
        </w:rPr>
        <w:t xml:space="preserve">I want to suggest that this last point is critical to understanding an important autonomy-related harm of DTC </w:t>
      </w:r>
      <w:r w:rsidR="00923F8C" w:rsidRPr="00042102">
        <w:rPr>
          <w:rFonts w:ascii="Times" w:hAnsi="Times"/>
          <w:lang w:val="en-US"/>
        </w:rPr>
        <w:t xml:space="preserve">testing: the diminishment of one’s privacy through the sale of one’s genetic information to large DTC companies. </w:t>
      </w:r>
    </w:p>
    <w:p w14:paraId="276E872A" w14:textId="4D0026C4" w:rsidR="00E16F33" w:rsidRPr="00042102" w:rsidRDefault="00F24017">
      <w:pPr>
        <w:rPr>
          <w:rFonts w:ascii="Times" w:hAnsi="Times"/>
          <w:lang w:val="en-US"/>
        </w:rPr>
      </w:pPr>
      <w:r w:rsidRPr="00042102">
        <w:rPr>
          <w:rFonts w:ascii="Times" w:hAnsi="Times"/>
          <w:lang w:val="en-US"/>
        </w:rPr>
        <w:tab/>
      </w:r>
      <w:r w:rsidR="004B2E74" w:rsidRPr="00042102">
        <w:rPr>
          <w:rFonts w:ascii="Times" w:hAnsi="Times"/>
          <w:lang w:val="en-US"/>
        </w:rPr>
        <w:t>My</w:t>
      </w:r>
      <w:r w:rsidR="009A6B12" w:rsidRPr="00042102">
        <w:rPr>
          <w:rFonts w:ascii="Times" w:hAnsi="Times"/>
          <w:lang w:val="en-US"/>
        </w:rPr>
        <w:t xml:space="preserve"> claim is that diminishments in one’s privacy can diminish one’s autonomy (in the Razian and other senses) because privacy and autonomy are intimately </w:t>
      </w:r>
      <w:r w:rsidR="009A6B12" w:rsidRPr="00042102">
        <w:rPr>
          <w:rFonts w:ascii="Times" w:hAnsi="Times"/>
          <w:i/>
          <w:iCs/>
          <w:lang w:val="en-US"/>
        </w:rPr>
        <w:t>interrelated</w:t>
      </w:r>
      <w:r w:rsidR="00914719">
        <w:rPr>
          <w:rFonts w:ascii="Times" w:hAnsi="Times"/>
          <w:lang w:val="en-US"/>
        </w:rPr>
        <w:t>.</w:t>
      </w:r>
      <w:r w:rsidR="00914719">
        <w:rPr>
          <w:rStyle w:val="Eindnootmarkering"/>
          <w:rFonts w:ascii="Times" w:hAnsi="Times"/>
          <w:lang w:val="en-US"/>
        </w:rPr>
        <w:endnoteReference w:id="4"/>
      </w:r>
      <w:r w:rsidR="00E16F33" w:rsidRPr="00042102">
        <w:rPr>
          <w:rFonts w:ascii="Times" w:hAnsi="Times"/>
          <w:lang w:val="en-US"/>
        </w:rPr>
        <w:t xml:space="preserve"> To defend this claim, I will have to show three things. First, that DTC genetic testing diminishes one’s privacy. Second, that privacy and autonomy in the Razian sense are related. Third, </w:t>
      </w:r>
      <w:r w:rsidR="009B690A">
        <w:rPr>
          <w:rFonts w:ascii="Times" w:hAnsi="Times"/>
          <w:lang w:val="en-US"/>
        </w:rPr>
        <w:t xml:space="preserve">that </w:t>
      </w:r>
      <w:r w:rsidR="00E16F33" w:rsidRPr="00042102">
        <w:rPr>
          <w:rFonts w:ascii="Times" w:hAnsi="Times"/>
          <w:lang w:val="en-US"/>
        </w:rPr>
        <w:t>when one’s</w:t>
      </w:r>
      <w:r w:rsidR="00F47EB9" w:rsidRPr="00042102">
        <w:rPr>
          <w:rFonts w:ascii="Times" w:hAnsi="Times"/>
          <w:lang w:val="en-US"/>
        </w:rPr>
        <w:t xml:space="preserve"> </w:t>
      </w:r>
      <w:r w:rsidR="00E16F33" w:rsidRPr="00042102">
        <w:rPr>
          <w:rFonts w:ascii="Times" w:hAnsi="Times"/>
          <w:lang w:val="en-US"/>
        </w:rPr>
        <w:t xml:space="preserve">privacy is diminished, so is their autonomy </w:t>
      </w:r>
      <w:r w:rsidR="009B690A">
        <w:rPr>
          <w:rFonts w:ascii="Times" w:hAnsi="Times"/>
          <w:lang w:val="en-US"/>
        </w:rPr>
        <w:t>and this</w:t>
      </w:r>
      <w:r w:rsidR="00E16F33" w:rsidRPr="00042102">
        <w:rPr>
          <w:rFonts w:ascii="Times" w:hAnsi="Times"/>
          <w:lang w:val="en-US"/>
        </w:rPr>
        <w:t xml:space="preserve"> may </w:t>
      </w:r>
      <w:r w:rsidR="009F3222">
        <w:rPr>
          <w:rFonts w:ascii="Times" w:hAnsi="Times"/>
          <w:lang w:val="en-US"/>
        </w:rPr>
        <w:t xml:space="preserve">plausibly </w:t>
      </w:r>
      <w:r w:rsidR="00E16F33" w:rsidRPr="00042102">
        <w:rPr>
          <w:rFonts w:ascii="Times" w:hAnsi="Times"/>
          <w:lang w:val="en-US"/>
        </w:rPr>
        <w:t>constitute an autonomy-related harm.</w:t>
      </w:r>
    </w:p>
    <w:p w14:paraId="23264EA2" w14:textId="4F8D8011" w:rsidR="00B27DCA" w:rsidRPr="00042102" w:rsidRDefault="00E16F33" w:rsidP="00E16F33">
      <w:pPr>
        <w:ind w:firstLine="708"/>
        <w:rPr>
          <w:rFonts w:ascii="Times" w:hAnsi="Times"/>
          <w:lang w:val="en-US"/>
        </w:rPr>
      </w:pPr>
      <w:r w:rsidRPr="00042102">
        <w:rPr>
          <w:rFonts w:ascii="Times" w:hAnsi="Times"/>
          <w:lang w:val="en-US"/>
        </w:rPr>
        <w:lastRenderedPageBreak/>
        <w:t>The first point is easy to make but it nevertheless depends on an understanding of what it takes for one’s privacy to be diminished.</w:t>
      </w:r>
      <w:r w:rsidR="00287F42" w:rsidRPr="00042102">
        <w:rPr>
          <w:rFonts w:ascii="Times" w:hAnsi="Times"/>
          <w:lang w:val="en-US"/>
        </w:rPr>
        <w:t xml:space="preserve"> </w:t>
      </w:r>
      <w:r w:rsidR="00690681" w:rsidRPr="00042102">
        <w:rPr>
          <w:rFonts w:ascii="Times" w:hAnsi="Times"/>
          <w:lang w:val="en-US"/>
        </w:rPr>
        <w:t xml:space="preserve">For example, imagine a person’s diary was left open on their desk and they had a neighbor who possessed high-powered binoculars and could see into the contents of their diary if they wanted to. For the sake of argument, let us stipulate that the neighbor never uses the telescope to read the person’s diary. Is their privacy diminished? </w:t>
      </w:r>
      <w:r w:rsidR="00287F42" w:rsidRPr="00042102">
        <w:rPr>
          <w:rFonts w:ascii="Times" w:hAnsi="Times"/>
          <w:lang w:val="en-US"/>
        </w:rPr>
        <w:t xml:space="preserve">While some theorists think that </w:t>
      </w:r>
      <w:r w:rsidRPr="00042102">
        <w:rPr>
          <w:rFonts w:ascii="Times" w:hAnsi="Times"/>
          <w:lang w:val="en-US"/>
        </w:rPr>
        <w:t xml:space="preserve">privacy is diminished </w:t>
      </w:r>
      <w:r w:rsidR="00C867C0" w:rsidRPr="00042102">
        <w:rPr>
          <w:rFonts w:ascii="Times" w:hAnsi="Times"/>
          <w:lang w:val="en-US"/>
        </w:rPr>
        <w:t xml:space="preserve">only </w:t>
      </w:r>
      <w:r w:rsidRPr="00042102">
        <w:rPr>
          <w:rFonts w:ascii="Times" w:hAnsi="Times"/>
          <w:lang w:val="en-US"/>
        </w:rPr>
        <w:t xml:space="preserve">through </w:t>
      </w:r>
      <w:r w:rsidR="00287F42" w:rsidRPr="00042102">
        <w:rPr>
          <w:rFonts w:ascii="Times" w:hAnsi="Times"/>
          <w:lang w:val="en-US"/>
        </w:rPr>
        <w:t xml:space="preserve">the </w:t>
      </w:r>
      <w:r w:rsidRPr="00042102">
        <w:rPr>
          <w:rFonts w:ascii="Times" w:hAnsi="Times"/>
          <w:i/>
          <w:iCs/>
          <w:lang w:val="en-US"/>
        </w:rPr>
        <w:t>access</w:t>
      </w:r>
      <w:r w:rsidR="00287F42" w:rsidRPr="00042102">
        <w:rPr>
          <w:rFonts w:ascii="Times" w:hAnsi="Times"/>
          <w:i/>
          <w:iCs/>
          <w:lang w:val="en-US"/>
        </w:rPr>
        <w:t xml:space="preserve"> </w:t>
      </w:r>
      <w:r w:rsidR="00287F42" w:rsidRPr="00042102">
        <w:rPr>
          <w:rFonts w:ascii="Times" w:hAnsi="Times"/>
          <w:lang w:val="en-US"/>
        </w:rPr>
        <w:t>of information</w:t>
      </w:r>
      <w:r w:rsidR="00FD0C31" w:rsidRPr="00042102">
        <w:rPr>
          <w:rFonts w:ascii="Times" w:hAnsi="Times"/>
          <w:lang w:val="en-US"/>
        </w:rPr>
        <w:t xml:space="preserve"> about oneself</w:t>
      </w:r>
      <w:r w:rsidR="00287F42" w:rsidRPr="00042102">
        <w:rPr>
          <w:rFonts w:ascii="Times" w:hAnsi="Times"/>
          <w:lang w:val="en-US"/>
        </w:rPr>
        <w:t>, other</w:t>
      </w:r>
      <w:r w:rsidR="00E72FF2">
        <w:rPr>
          <w:rFonts w:ascii="Times" w:hAnsi="Times"/>
          <w:lang w:val="en-US"/>
        </w:rPr>
        <w:t>s</w:t>
      </w:r>
      <w:r w:rsidR="00287F42" w:rsidRPr="00042102">
        <w:rPr>
          <w:rFonts w:ascii="Times" w:hAnsi="Times"/>
          <w:lang w:val="en-US"/>
        </w:rPr>
        <w:t xml:space="preserve"> seem to think the mere </w:t>
      </w:r>
      <w:r w:rsidR="00287F42" w:rsidRPr="00042102">
        <w:rPr>
          <w:rFonts w:ascii="Times" w:hAnsi="Times"/>
          <w:i/>
          <w:iCs/>
          <w:lang w:val="en-US"/>
        </w:rPr>
        <w:t xml:space="preserve">accessibility </w:t>
      </w:r>
      <w:r w:rsidR="00287F42" w:rsidRPr="00042102">
        <w:rPr>
          <w:rFonts w:ascii="Times" w:hAnsi="Times"/>
          <w:lang w:val="en-US"/>
        </w:rPr>
        <w:t>of one’s information can change their privacy status</w:t>
      </w:r>
      <w:r w:rsidR="00E72FF2">
        <w:rPr>
          <w:rFonts w:ascii="Times" w:hAnsi="Times"/>
          <w:lang w:val="en-US"/>
        </w:rPr>
        <w:t>.</w:t>
      </w:r>
      <w:r w:rsidR="00C1106D">
        <w:rPr>
          <w:rStyle w:val="Eindnootmarkering"/>
          <w:rFonts w:ascii="Times" w:hAnsi="Times"/>
          <w:lang w:val="en-US"/>
        </w:rPr>
        <w:endnoteReference w:id="5"/>
      </w:r>
      <w:r w:rsidR="00E72FF2">
        <w:rPr>
          <w:rFonts w:ascii="Times" w:hAnsi="Times"/>
          <w:lang w:val="en-US"/>
        </w:rPr>
        <w:t xml:space="preserve"> </w:t>
      </w:r>
      <w:r w:rsidR="00B012F1" w:rsidRPr="00042102">
        <w:rPr>
          <w:rFonts w:ascii="Times" w:hAnsi="Times"/>
          <w:lang w:val="en-US"/>
        </w:rPr>
        <w:t>If we think mere accessibility is sufficient</w:t>
      </w:r>
      <w:r w:rsidR="000D3203">
        <w:rPr>
          <w:rFonts w:ascii="Times" w:hAnsi="Times"/>
          <w:lang w:val="en-US"/>
        </w:rPr>
        <w:t>,</w:t>
      </w:r>
      <w:r w:rsidR="00B012F1" w:rsidRPr="00042102">
        <w:rPr>
          <w:rFonts w:ascii="Times" w:hAnsi="Times"/>
          <w:lang w:val="en-US"/>
        </w:rPr>
        <w:t xml:space="preserve"> then we </w:t>
      </w:r>
      <w:r w:rsidR="00B27DCA" w:rsidRPr="00042102">
        <w:rPr>
          <w:rFonts w:ascii="Times" w:hAnsi="Times"/>
          <w:lang w:val="en-US"/>
        </w:rPr>
        <w:t>must</w:t>
      </w:r>
      <w:r w:rsidR="00B012F1" w:rsidRPr="00042102">
        <w:rPr>
          <w:rFonts w:ascii="Times" w:hAnsi="Times"/>
          <w:lang w:val="en-US"/>
        </w:rPr>
        <w:t xml:space="preserve"> claim that even though the neighbor will never read the person’s diary, the person’s privacy is diminished. </w:t>
      </w:r>
      <w:r w:rsidR="003E13F4" w:rsidRPr="00042102">
        <w:rPr>
          <w:rFonts w:ascii="Times" w:hAnsi="Times"/>
          <w:lang w:val="en-US"/>
        </w:rPr>
        <w:t>However, i</w:t>
      </w:r>
      <w:r w:rsidR="00B27DCA" w:rsidRPr="00042102">
        <w:rPr>
          <w:rFonts w:ascii="Times" w:hAnsi="Times"/>
          <w:lang w:val="en-US"/>
        </w:rPr>
        <w:t xml:space="preserve">ntuitions about privacy diminishments </w:t>
      </w:r>
      <w:r w:rsidR="005E0296" w:rsidRPr="00042102">
        <w:rPr>
          <w:rFonts w:ascii="Times" w:hAnsi="Times"/>
          <w:lang w:val="en-US"/>
        </w:rPr>
        <w:t>are often very divided.</w:t>
      </w:r>
    </w:p>
    <w:p w14:paraId="5C1717BC" w14:textId="734D7DD3" w:rsidR="008375E2" w:rsidRPr="00042102" w:rsidRDefault="006970A3" w:rsidP="005E0296">
      <w:pPr>
        <w:ind w:firstLine="708"/>
        <w:rPr>
          <w:rFonts w:ascii="Times" w:hAnsi="Times"/>
          <w:lang w:val="en-US"/>
        </w:rPr>
      </w:pPr>
      <w:r w:rsidRPr="00042102">
        <w:rPr>
          <w:rFonts w:ascii="Times" w:hAnsi="Times"/>
          <w:lang w:val="en-US"/>
        </w:rPr>
        <w:t>Regardless of how we might treat that scenario, what is it that happens when a person gives away their genetic information via a DTC test</w:t>
      </w:r>
      <w:r w:rsidR="00A2562A" w:rsidRPr="00042102">
        <w:rPr>
          <w:rFonts w:ascii="Times" w:hAnsi="Times"/>
          <w:lang w:val="en-US"/>
        </w:rPr>
        <w:t>?</w:t>
      </w:r>
      <w:r w:rsidR="005E0296" w:rsidRPr="00042102">
        <w:rPr>
          <w:rFonts w:ascii="Times" w:hAnsi="Times"/>
          <w:lang w:val="en-US"/>
        </w:rPr>
        <w:t xml:space="preserve"> When genetic information is given to companies like 23</w:t>
      </w:r>
      <w:r w:rsidR="00E96E36">
        <w:rPr>
          <w:rFonts w:ascii="Times" w:hAnsi="Times"/>
          <w:lang w:val="en-US"/>
        </w:rPr>
        <w:t>and</w:t>
      </w:r>
      <w:r w:rsidR="005E0296" w:rsidRPr="00042102">
        <w:rPr>
          <w:rFonts w:ascii="Times" w:hAnsi="Times"/>
          <w:lang w:val="en-US"/>
        </w:rPr>
        <w:t>Me, the agreements consumer</w:t>
      </w:r>
      <w:r w:rsidR="008B6AA7" w:rsidRPr="00042102">
        <w:rPr>
          <w:rFonts w:ascii="Times" w:hAnsi="Times"/>
          <w:lang w:val="en-US"/>
        </w:rPr>
        <w:t>s</w:t>
      </w:r>
      <w:r w:rsidR="005E0296" w:rsidRPr="00042102">
        <w:rPr>
          <w:rFonts w:ascii="Times" w:hAnsi="Times"/>
          <w:lang w:val="en-US"/>
        </w:rPr>
        <w:t xml:space="preserve"> </w:t>
      </w:r>
      <w:r w:rsidR="008B6AA7" w:rsidRPr="00042102">
        <w:rPr>
          <w:rFonts w:ascii="Times" w:hAnsi="Times"/>
          <w:lang w:val="en-US"/>
        </w:rPr>
        <w:t>enter</w:t>
      </w:r>
      <w:r w:rsidR="005E0296" w:rsidRPr="00042102">
        <w:rPr>
          <w:rFonts w:ascii="Times" w:hAnsi="Times"/>
          <w:lang w:val="en-US"/>
        </w:rPr>
        <w:t xml:space="preserve"> make </w:t>
      </w:r>
      <w:r w:rsidR="008B6AA7" w:rsidRPr="00042102">
        <w:rPr>
          <w:rFonts w:ascii="Times" w:hAnsi="Times"/>
          <w:lang w:val="en-US"/>
        </w:rPr>
        <w:t>this</w:t>
      </w:r>
      <w:r w:rsidR="005E0296" w:rsidRPr="00042102">
        <w:rPr>
          <w:rFonts w:ascii="Times" w:hAnsi="Times"/>
          <w:lang w:val="en-US"/>
        </w:rPr>
        <w:t xml:space="preserve"> information available to third parties for research and other business-related purposes</w:t>
      </w:r>
      <w:r w:rsidR="00C1106D">
        <w:rPr>
          <w:rFonts w:ascii="Times" w:hAnsi="Times"/>
          <w:lang w:val="en-US"/>
        </w:rPr>
        <w:t>.</w:t>
      </w:r>
      <w:r w:rsidR="00A62BDF">
        <w:rPr>
          <w:rStyle w:val="Eindnootmarkering"/>
          <w:rFonts w:ascii="Times" w:hAnsi="Times"/>
          <w:lang w:val="en-US"/>
        </w:rPr>
        <w:endnoteReference w:id="6"/>
      </w:r>
      <w:r w:rsidR="00C1106D">
        <w:rPr>
          <w:rFonts w:ascii="Times" w:hAnsi="Times"/>
          <w:lang w:val="en-US"/>
        </w:rPr>
        <w:t xml:space="preserve"> </w:t>
      </w:r>
      <w:r w:rsidR="00470A67" w:rsidRPr="00042102">
        <w:rPr>
          <w:rFonts w:ascii="Times" w:hAnsi="Times"/>
          <w:lang w:val="en-US"/>
        </w:rPr>
        <w:t xml:space="preserve">On </w:t>
      </w:r>
      <w:r w:rsidR="00D57FF6" w:rsidRPr="00042102">
        <w:rPr>
          <w:rFonts w:ascii="Times" w:hAnsi="Times"/>
          <w:lang w:val="en-US"/>
        </w:rPr>
        <w:t xml:space="preserve">either </w:t>
      </w:r>
      <w:r w:rsidR="00470A67" w:rsidRPr="00042102">
        <w:rPr>
          <w:rFonts w:ascii="Times" w:hAnsi="Times"/>
          <w:lang w:val="en-US"/>
        </w:rPr>
        <w:t xml:space="preserve">the accessibility </w:t>
      </w:r>
      <w:r w:rsidR="00D57FF6" w:rsidRPr="00042102">
        <w:rPr>
          <w:rFonts w:ascii="Times" w:hAnsi="Times"/>
          <w:lang w:val="en-US"/>
        </w:rPr>
        <w:t xml:space="preserve">or access </w:t>
      </w:r>
      <w:r w:rsidR="00470A67" w:rsidRPr="00042102">
        <w:rPr>
          <w:rFonts w:ascii="Times" w:hAnsi="Times"/>
          <w:lang w:val="en-US"/>
        </w:rPr>
        <w:t xml:space="preserve">condition, </w:t>
      </w:r>
      <w:r w:rsidR="00C9121C" w:rsidRPr="00042102">
        <w:rPr>
          <w:rFonts w:ascii="Times" w:hAnsi="Times"/>
          <w:lang w:val="en-US"/>
        </w:rPr>
        <w:t xml:space="preserve">a </w:t>
      </w:r>
      <w:r w:rsidR="00470A67" w:rsidRPr="00042102">
        <w:rPr>
          <w:rFonts w:ascii="Times" w:hAnsi="Times"/>
          <w:lang w:val="en-US"/>
        </w:rPr>
        <w:t xml:space="preserve">person’s genetic privacy </w:t>
      </w:r>
      <w:r w:rsidR="00E74174" w:rsidRPr="00042102">
        <w:rPr>
          <w:rFonts w:ascii="Times" w:hAnsi="Times"/>
          <w:lang w:val="en-US"/>
        </w:rPr>
        <w:t>has</w:t>
      </w:r>
      <w:r w:rsidR="00470A67" w:rsidRPr="00042102">
        <w:rPr>
          <w:rFonts w:ascii="Times" w:hAnsi="Times"/>
          <w:lang w:val="en-US"/>
        </w:rPr>
        <w:t xml:space="preserve"> been diminished </w:t>
      </w:r>
      <w:r w:rsidR="00D57FF6" w:rsidRPr="00042102">
        <w:rPr>
          <w:rFonts w:ascii="Times" w:hAnsi="Times"/>
          <w:lang w:val="en-US"/>
        </w:rPr>
        <w:t xml:space="preserve">because it is </w:t>
      </w:r>
      <w:r w:rsidR="0003694A" w:rsidRPr="00042102">
        <w:rPr>
          <w:rFonts w:ascii="Times" w:hAnsi="Times"/>
          <w:lang w:val="en-US"/>
        </w:rPr>
        <w:t xml:space="preserve">possible and highly probable this information </w:t>
      </w:r>
      <w:r w:rsidR="00E74174" w:rsidRPr="00042102">
        <w:rPr>
          <w:rFonts w:ascii="Times" w:hAnsi="Times"/>
          <w:lang w:val="en-US"/>
        </w:rPr>
        <w:t xml:space="preserve">will be or </w:t>
      </w:r>
      <w:r w:rsidR="0003694A" w:rsidRPr="00042102">
        <w:rPr>
          <w:rFonts w:ascii="Times" w:hAnsi="Times"/>
          <w:lang w:val="en-US"/>
        </w:rPr>
        <w:t>has been accessed by others</w:t>
      </w:r>
      <w:r w:rsidR="000C1B1B" w:rsidRPr="00042102">
        <w:rPr>
          <w:rFonts w:ascii="Times" w:hAnsi="Times"/>
          <w:lang w:val="en-US"/>
        </w:rPr>
        <w:t xml:space="preserve">. </w:t>
      </w:r>
      <w:r w:rsidR="008375E2" w:rsidRPr="00042102">
        <w:rPr>
          <w:rFonts w:ascii="Times" w:hAnsi="Times"/>
          <w:lang w:val="en-US"/>
        </w:rPr>
        <w:t xml:space="preserve">While consumers of DTC genetic testing likely sign an informed consent form, it is unlikely that they are aware of the ways in which this information </w:t>
      </w:r>
      <w:r w:rsidR="005701E4">
        <w:rPr>
          <w:rFonts w:ascii="Times" w:hAnsi="Times"/>
          <w:lang w:val="en-US"/>
        </w:rPr>
        <w:t>has</w:t>
      </w:r>
      <w:r w:rsidR="008375E2" w:rsidRPr="00042102">
        <w:rPr>
          <w:rFonts w:ascii="Times" w:hAnsi="Times"/>
          <w:lang w:val="en-US"/>
        </w:rPr>
        <w:t xml:space="preserve"> be</w:t>
      </w:r>
      <w:r w:rsidR="005701E4">
        <w:rPr>
          <w:rFonts w:ascii="Times" w:hAnsi="Times"/>
          <w:lang w:val="en-US"/>
        </w:rPr>
        <w:t>en</w:t>
      </w:r>
      <w:r w:rsidR="008375E2" w:rsidRPr="00042102">
        <w:rPr>
          <w:rFonts w:ascii="Times" w:hAnsi="Times"/>
          <w:lang w:val="en-US"/>
        </w:rPr>
        <w:t xml:space="preserve"> accessed by others with negative consequences for them that they might not be aware of yet.</w:t>
      </w:r>
    </w:p>
    <w:p w14:paraId="17174347" w14:textId="4DCE9867" w:rsidR="008375E2" w:rsidRPr="00042102" w:rsidRDefault="00D21A0D" w:rsidP="005F24CA">
      <w:pPr>
        <w:ind w:firstLine="708"/>
        <w:rPr>
          <w:rFonts w:ascii="Times" w:hAnsi="Times"/>
          <w:lang w:val="en-US"/>
        </w:rPr>
      </w:pPr>
      <w:r w:rsidRPr="00042102">
        <w:rPr>
          <w:rFonts w:ascii="Times" w:hAnsi="Times"/>
          <w:lang w:val="en-US"/>
        </w:rPr>
        <w:t xml:space="preserve">This leads me to the second </w:t>
      </w:r>
      <w:r w:rsidR="00854980" w:rsidRPr="00042102">
        <w:rPr>
          <w:rFonts w:ascii="Times" w:hAnsi="Times"/>
          <w:lang w:val="en-US"/>
        </w:rPr>
        <w:t xml:space="preserve">and third </w:t>
      </w:r>
      <w:r w:rsidRPr="00042102">
        <w:rPr>
          <w:rFonts w:ascii="Times" w:hAnsi="Times"/>
          <w:lang w:val="en-US"/>
        </w:rPr>
        <w:t>point</w:t>
      </w:r>
      <w:r w:rsidR="00854980" w:rsidRPr="00042102">
        <w:rPr>
          <w:rFonts w:ascii="Times" w:hAnsi="Times"/>
          <w:lang w:val="en-US"/>
        </w:rPr>
        <w:t>s</w:t>
      </w:r>
      <w:r w:rsidRPr="00042102">
        <w:rPr>
          <w:rFonts w:ascii="Times" w:hAnsi="Times"/>
          <w:lang w:val="en-US"/>
        </w:rPr>
        <w:t xml:space="preserve">, which </w:t>
      </w:r>
      <w:r w:rsidR="00854980" w:rsidRPr="00042102">
        <w:rPr>
          <w:rFonts w:ascii="Times" w:hAnsi="Times"/>
          <w:lang w:val="en-US"/>
        </w:rPr>
        <w:t>are</w:t>
      </w:r>
      <w:r w:rsidRPr="00042102">
        <w:rPr>
          <w:rFonts w:ascii="Times" w:hAnsi="Times"/>
          <w:lang w:val="en-US"/>
        </w:rPr>
        <w:t xml:space="preserve"> that privacy and the Razian sense of autonomy are related</w:t>
      </w:r>
      <w:r w:rsidR="00854980" w:rsidRPr="00042102">
        <w:rPr>
          <w:rFonts w:ascii="Times" w:hAnsi="Times"/>
          <w:lang w:val="en-US"/>
        </w:rPr>
        <w:t xml:space="preserve"> such that diminishments in privacy cause corresponding diminishments in autonomy. </w:t>
      </w:r>
      <w:r w:rsidR="00822D76" w:rsidRPr="00042102">
        <w:rPr>
          <w:rFonts w:ascii="Times" w:hAnsi="Times"/>
          <w:lang w:val="en-US"/>
        </w:rPr>
        <w:t xml:space="preserve">Recall that the Razian conception of autonomy emphasizes </w:t>
      </w:r>
      <w:r w:rsidR="00CA5B92" w:rsidRPr="00042102">
        <w:rPr>
          <w:rFonts w:ascii="Times" w:hAnsi="Times"/>
          <w:lang w:val="en-US"/>
        </w:rPr>
        <w:t>having</w:t>
      </w:r>
      <w:r w:rsidR="009C31DD" w:rsidRPr="00042102">
        <w:rPr>
          <w:rFonts w:ascii="Times" w:hAnsi="Times"/>
          <w:lang w:val="en-US"/>
        </w:rPr>
        <w:t xml:space="preserve"> a</w:t>
      </w:r>
      <w:r w:rsidR="00CA5B92" w:rsidRPr="00042102">
        <w:rPr>
          <w:rFonts w:ascii="Times" w:hAnsi="Times"/>
          <w:lang w:val="en-US"/>
        </w:rPr>
        <w:t>n adequate</w:t>
      </w:r>
      <w:r w:rsidR="009C31DD" w:rsidRPr="00042102">
        <w:rPr>
          <w:rFonts w:ascii="Times" w:hAnsi="Times"/>
          <w:lang w:val="en-US"/>
        </w:rPr>
        <w:t xml:space="preserve"> range of valuable options. </w:t>
      </w:r>
      <w:r w:rsidR="00CA5B92" w:rsidRPr="00042102">
        <w:rPr>
          <w:rFonts w:ascii="Times" w:hAnsi="Times"/>
          <w:lang w:val="en-US"/>
        </w:rPr>
        <w:t>If one innocently takes a DTC test now and perhaps finds out some unwelcome medical information, they may be obligated to report that information to insurance providers</w:t>
      </w:r>
      <w:r w:rsidR="00E42D92">
        <w:rPr>
          <w:rFonts w:ascii="Times" w:hAnsi="Times"/>
          <w:lang w:val="en-US"/>
        </w:rPr>
        <w:t xml:space="preserve"> or employers</w:t>
      </w:r>
      <w:r w:rsidR="00CA5B92" w:rsidRPr="00042102">
        <w:rPr>
          <w:rFonts w:ascii="Times" w:hAnsi="Times"/>
          <w:lang w:val="en-US"/>
        </w:rPr>
        <w:t xml:space="preserve">. </w:t>
      </w:r>
      <w:r w:rsidR="004E69B2">
        <w:rPr>
          <w:rFonts w:ascii="Times" w:hAnsi="Times"/>
          <w:lang w:val="en-US"/>
        </w:rPr>
        <w:t>For fear of avoiding fraud, people will feel coerced to reveal this information</w:t>
      </w:r>
      <w:r w:rsidR="00802F02">
        <w:rPr>
          <w:rFonts w:ascii="Times" w:hAnsi="Times"/>
          <w:lang w:val="en-US"/>
        </w:rPr>
        <w:t>, which</w:t>
      </w:r>
      <w:r w:rsidR="007324B7" w:rsidRPr="00042102">
        <w:rPr>
          <w:rFonts w:ascii="Times" w:hAnsi="Times"/>
          <w:lang w:val="en-US"/>
        </w:rPr>
        <w:t xml:space="preserve"> </w:t>
      </w:r>
      <w:r w:rsidR="00CB7FDA">
        <w:rPr>
          <w:rFonts w:ascii="Times" w:hAnsi="Times"/>
          <w:lang w:val="en-US"/>
        </w:rPr>
        <w:t>could</w:t>
      </w:r>
      <w:r w:rsidR="007324B7" w:rsidRPr="00042102">
        <w:rPr>
          <w:rFonts w:ascii="Times" w:hAnsi="Times"/>
          <w:lang w:val="en-US"/>
        </w:rPr>
        <w:t xml:space="preserve"> decrease the range of options people possess</w:t>
      </w:r>
      <w:r w:rsidR="00785169" w:rsidRPr="00042102">
        <w:rPr>
          <w:rFonts w:ascii="Times" w:hAnsi="Times"/>
          <w:lang w:val="en-US"/>
        </w:rPr>
        <w:t xml:space="preserve"> </w:t>
      </w:r>
      <w:r w:rsidR="007324B7" w:rsidRPr="00042102">
        <w:rPr>
          <w:rFonts w:ascii="Times" w:hAnsi="Times"/>
          <w:lang w:val="en-US"/>
        </w:rPr>
        <w:t>because they will be beset with worries about how to pay for medical treatment</w:t>
      </w:r>
      <w:r w:rsidR="005D1B8F">
        <w:rPr>
          <w:rFonts w:ascii="Times" w:hAnsi="Times"/>
          <w:lang w:val="en-US"/>
        </w:rPr>
        <w:t>s</w:t>
      </w:r>
      <w:r w:rsidR="005A5986">
        <w:rPr>
          <w:rFonts w:ascii="Times" w:hAnsi="Times"/>
          <w:lang w:val="en-US"/>
        </w:rPr>
        <w:t xml:space="preserve"> or obtain desired employment</w:t>
      </w:r>
      <w:r w:rsidR="005D1B8F">
        <w:rPr>
          <w:rFonts w:ascii="Times" w:hAnsi="Times"/>
          <w:lang w:val="en-US"/>
        </w:rPr>
        <w:t xml:space="preserve">. </w:t>
      </w:r>
      <w:r w:rsidR="00CB2D9D">
        <w:rPr>
          <w:rFonts w:ascii="Times" w:hAnsi="Times"/>
          <w:lang w:val="en-US"/>
        </w:rPr>
        <w:t>If this results in them being</w:t>
      </w:r>
      <w:r w:rsidR="00AF4ED5" w:rsidRPr="00042102">
        <w:rPr>
          <w:rFonts w:ascii="Times" w:hAnsi="Times"/>
          <w:lang w:val="en-US"/>
        </w:rPr>
        <w:t xml:space="preserve"> </w:t>
      </w:r>
      <w:r w:rsidR="005A5986">
        <w:rPr>
          <w:rFonts w:ascii="Times" w:hAnsi="Times"/>
          <w:lang w:val="en-US"/>
        </w:rPr>
        <w:t>unable</w:t>
      </w:r>
      <w:r w:rsidR="00AF4ED5" w:rsidRPr="00042102">
        <w:rPr>
          <w:rFonts w:ascii="Times" w:hAnsi="Times"/>
          <w:lang w:val="en-US"/>
        </w:rPr>
        <w:t xml:space="preserve"> to attend to other </w:t>
      </w:r>
      <w:r w:rsidR="007B4A38" w:rsidRPr="00042102">
        <w:rPr>
          <w:rFonts w:ascii="Times" w:hAnsi="Times"/>
          <w:lang w:val="en-US"/>
        </w:rPr>
        <w:t>meaningful</w:t>
      </w:r>
      <w:r w:rsidR="00AF4ED5" w:rsidRPr="00042102">
        <w:rPr>
          <w:rFonts w:ascii="Times" w:hAnsi="Times"/>
          <w:lang w:val="en-US"/>
        </w:rPr>
        <w:t xml:space="preserve"> aspects of their lives</w:t>
      </w:r>
      <w:r w:rsidR="00CB2D9D">
        <w:rPr>
          <w:rFonts w:ascii="Times" w:hAnsi="Times"/>
          <w:lang w:val="en-US"/>
        </w:rPr>
        <w:t>, we might reasonably be concerned about the status of their autonomy</w:t>
      </w:r>
      <w:r w:rsidR="00AF4ED5" w:rsidRPr="00042102">
        <w:rPr>
          <w:rFonts w:ascii="Times" w:hAnsi="Times"/>
          <w:lang w:val="en-US"/>
        </w:rPr>
        <w:t>.</w:t>
      </w:r>
      <w:r w:rsidR="004975C4" w:rsidRPr="00042102">
        <w:rPr>
          <w:rFonts w:ascii="Times" w:hAnsi="Times"/>
          <w:lang w:val="en-US"/>
        </w:rPr>
        <w:t xml:space="preserve"> </w:t>
      </w:r>
      <w:r w:rsidR="00CD3B49" w:rsidRPr="00042102">
        <w:rPr>
          <w:rFonts w:ascii="Times" w:hAnsi="Times"/>
          <w:lang w:val="en-US"/>
        </w:rPr>
        <w:t xml:space="preserve">In this sense, </w:t>
      </w:r>
      <w:r w:rsidR="008A21A7">
        <w:rPr>
          <w:rFonts w:ascii="Times" w:hAnsi="Times"/>
          <w:lang w:val="en-US"/>
        </w:rPr>
        <w:t xml:space="preserve">one’s </w:t>
      </w:r>
      <w:r w:rsidR="007B4A38" w:rsidRPr="00042102">
        <w:rPr>
          <w:rFonts w:ascii="Times" w:hAnsi="Times"/>
          <w:lang w:val="en-US"/>
        </w:rPr>
        <w:t xml:space="preserve">choice to </w:t>
      </w:r>
      <w:r w:rsidR="00947B0B">
        <w:rPr>
          <w:rFonts w:ascii="Times" w:hAnsi="Times"/>
          <w:lang w:val="en-US"/>
        </w:rPr>
        <w:t>take a</w:t>
      </w:r>
      <w:r w:rsidR="007B4A38" w:rsidRPr="00042102">
        <w:rPr>
          <w:rFonts w:ascii="Times" w:hAnsi="Times"/>
          <w:lang w:val="en-US"/>
        </w:rPr>
        <w:t xml:space="preserve"> </w:t>
      </w:r>
      <w:r w:rsidR="00CD3B49" w:rsidRPr="00042102">
        <w:rPr>
          <w:rFonts w:ascii="Times" w:hAnsi="Times"/>
          <w:lang w:val="en-US"/>
        </w:rPr>
        <w:t xml:space="preserve">DTC genetic </w:t>
      </w:r>
      <w:r w:rsidR="00947B0B">
        <w:rPr>
          <w:rFonts w:ascii="Times" w:hAnsi="Times"/>
          <w:lang w:val="en-US"/>
        </w:rPr>
        <w:t>test</w:t>
      </w:r>
      <w:r w:rsidR="00CD3B49" w:rsidRPr="00042102">
        <w:rPr>
          <w:rFonts w:ascii="Times" w:hAnsi="Times"/>
          <w:lang w:val="en-US"/>
        </w:rPr>
        <w:t xml:space="preserve"> </w:t>
      </w:r>
      <w:r w:rsidR="007B4A38" w:rsidRPr="00042102">
        <w:rPr>
          <w:rFonts w:ascii="Times" w:hAnsi="Times"/>
          <w:lang w:val="en-US"/>
        </w:rPr>
        <w:t xml:space="preserve">not only diminishes </w:t>
      </w:r>
      <w:r w:rsidR="00752AD5">
        <w:rPr>
          <w:rFonts w:ascii="Times" w:hAnsi="Times"/>
          <w:lang w:val="en-US"/>
        </w:rPr>
        <w:t xml:space="preserve">one’s </w:t>
      </w:r>
      <w:r w:rsidR="007B4A38" w:rsidRPr="00042102">
        <w:rPr>
          <w:rFonts w:ascii="Times" w:hAnsi="Times"/>
          <w:lang w:val="en-US"/>
        </w:rPr>
        <w:t>privacy</w:t>
      </w:r>
      <w:r w:rsidR="00752AD5">
        <w:rPr>
          <w:rFonts w:ascii="Times" w:hAnsi="Times"/>
          <w:lang w:val="en-US"/>
        </w:rPr>
        <w:t>, it also impacts</w:t>
      </w:r>
      <w:r w:rsidR="007B4A38" w:rsidRPr="00042102">
        <w:rPr>
          <w:rFonts w:ascii="Times" w:hAnsi="Times"/>
          <w:lang w:val="en-US"/>
        </w:rPr>
        <w:t xml:space="preserve"> </w:t>
      </w:r>
      <w:r w:rsidR="00752AD5">
        <w:rPr>
          <w:rFonts w:ascii="Times" w:hAnsi="Times"/>
          <w:lang w:val="en-US"/>
        </w:rPr>
        <w:t>upon one’s</w:t>
      </w:r>
      <w:r w:rsidR="007B4A38" w:rsidRPr="00042102">
        <w:rPr>
          <w:rFonts w:ascii="Times" w:hAnsi="Times"/>
          <w:lang w:val="en-US"/>
        </w:rPr>
        <w:t xml:space="preserve"> </w:t>
      </w:r>
      <w:r w:rsidR="00115D42" w:rsidRPr="00042102">
        <w:rPr>
          <w:rFonts w:ascii="Times" w:hAnsi="Times"/>
          <w:lang w:val="en-US"/>
        </w:rPr>
        <w:t xml:space="preserve">personal </w:t>
      </w:r>
      <w:r w:rsidR="007B4A38" w:rsidRPr="00042102">
        <w:rPr>
          <w:rFonts w:ascii="Times" w:hAnsi="Times"/>
          <w:lang w:val="en-US"/>
        </w:rPr>
        <w:t xml:space="preserve">autonomy </w:t>
      </w:r>
      <w:r w:rsidR="00224973" w:rsidRPr="00042102">
        <w:rPr>
          <w:rFonts w:ascii="Times" w:hAnsi="Times"/>
          <w:lang w:val="en-US"/>
        </w:rPr>
        <w:t xml:space="preserve">as </w:t>
      </w:r>
      <w:r w:rsidR="000C7593">
        <w:rPr>
          <w:rFonts w:ascii="Times" w:hAnsi="Times"/>
          <w:lang w:val="en-US"/>
        </w:rPr>
        <w:t xml:space="preserve">this ability </w:t>
      </w:r>
      <w:r w:rsidR="00752AD5">
        <w:rPr>
          <w:rFonts w:ascii="Times" w:hAnsi="Times"/>
          <w:lang w:val="en-US"/>
        </w:rPr>
        <w:t>is more difficult to exercise with potentially fewer valuable options.</w:t>
      </w:r>
      <w:r w:rsidR="007B4A38" w:rsidRPr="00042102">
        <w:rPr>
          <w:rFonts w:ascii="Times" w:hAnsi="Times"/>
          <w:lang w:val="en-US"/>
        </w:rPr>
        <w:t xml:space="preserve"> </w:t>
      </w:r>
      <w:r w:rsidR="00091E71" w:rsidRPr="00042102">
        <w:rPr>
          <w:rFonts w:ascii="Times" w:hAnsi="Times"/>
          <w:lang w:val="en-US"/>
        </w:rPr>
        <w:t xml:space="preserve">Therefore, DTC genetic testing can constitute an </w:t>
      </w:r>
      <w:r w:rsidR="00904736">
        <w:rPr>
          <w:rFonts w:ascii="Times" w:hAnsi="Times"/>
          <w:lang w:val="en-US"/>
        </w:rPr>
        <w:t xml:space="preserve">important </w:t>
      </w:r>
      <w:r w:rsidR="00091E71" w:rsidRPr="00042102">
        <w:rPr>
          <w:rFonts w:ascii="Times" w:hAnsi="Times"/>
          <w:lang w:val="en-US"/>
        </w:rPr>
        <w:t>autonomy-related harm</w:t>
      </w:r>
      <w:r w:rsidR="00904736">
        <w:rPr>
          <w:rFonts w:ascii="Times" w:hAnsi="Times"/>
          <w:lang w:val="en-US"/>
        </w:rPr>
        <w:t xml:space="preserve">. </w:t>
      </w:r>
    </w:p>
    <w:p w14:paraId="7CECD419" w14:textId="487E15BA" w:rsidR="008C6F05" w:rsidRPr="00042102" w:rsidRDefault="005F24CA" w:rsidP="00684613">
      <w:pPr>
        <w:ind w:firstLine="708"/>
        <w:rPr>
          <w:rFonts w:ascii="Times" w:hAnsi="Times"/>
          <w:lang w:val="en-US"/>
        </w:rPr>
      </w:pPr>
      <w:r w:rsidRPr="00042102">
        <w:rPr>
          <w:rFonts w:ascii="Times" w:hAnsi="Times"/>
          <w:lang w:val="en-US"/>
        </w:rPr>
        <w:t xml:space="preserve">In closing, I want to highlight how </w:t>
      </w:r>
      <w:r w:rsidR="000034D0" w:rsidRPr="00042102">
        <w:rPr>
          <w:rFonts w:ascii="Times" w:hAnsi="Times"/>
          <w:lang w:val="en-US"/>
        </w:rPr>
        <w:t>Vayena rightfully points out that for DTC genomics to enhance autonomy</w:t>
      </w:r>
      <w:r w:rsidRPr="00042102">
        <w:rPr>
          <w:rFonts w:ascii="Times" w:hAnsi="Times"/>
          <w:lang w:val="en-US"/>
        </w:rPr>
        <w:t xml:space="preserve">, </w:t>
      </w:r>
      <w:r w:rsidR="000034D0" w:rsidRPr="00042102">
        <w:rPr>
          <w:rFonts w:ascii="Times" w:hAnsi="Times"/>
          <w:lang w:val="en-US"/>
        </w:rPr>
        <w:t xml:space="preserve">it is important that these companies satisfy, among other things, adequate privacy protections. </w:t>
      </w:r>
      <w:r w:rsidR="003312BC" w:rsidRPr="00042102">
        <w:rPr>
          <w:rFonts w:ascii="Times" w:hAnsi="Times"/>
          <w:lang w:val="en-US"/>
        </w:rPr>
        <w:t xml:space="preserve">As such, she claims that the focus ought to be on how </w:t>
      </w:r>
      <w:r w:rsidR="00564764" w:rsidRPr="00042102">
        <w:rPr>
          <w:rFonts w:ascii="Times" w:hAnsi="Times"/>
          <w:lang w:val="en-US"/>
        </w:rPr>
        <w:t>to</w:t>
      </w:r>
      <w:r w:rsidR="003312BC" w:rsidRPr="00042102">
        <w:rPr>
          <w:rFonts w:ascii="Times" w:hAnsi="Times"/>
          <w:lang w:val="en-US"/>
        </w:rPr>
        <w:t xml:space="preserve"> regulate DTC genetic testing</w:t>
      </w:r>
      <w:r w:rsidR="00B04D93" w:rsidRPr="00042102">
        <w:rPr>
          <w:rFonts w:ascii="Times" w:hAnsi="Times"/>
          <w:lang w:val="en-US"/>
        </w:rPr>
        <w:t xml:space="preserve"> and not on autonomy, which as far she is concerned, can provide a </w:t>
      </w:r>
      <w:r w:rsidR="00B04D93" w:rsidRPr="00042102">
        <w:rPr>
          <w:rFonts w:ascii="Times" w:hAnsi="Times"/>
          <w:i/>
          <w:iCs/>
          <w:lang w:val="en-US"/>
        </w:rPr>
        <w:t>pro tanto</w:t>
      </w:r>
      <w:r w:rsidR="00B04D93" w:rsidRPr="00042102">
        <w:rPr>
          <w:rFonts w:ascii="Times" w:hAnsi="Times"/>
          <w:lang w:val="en-US"/>
        </w:rPr>
        <w:t xml:space="preserve"> case for the </w:t>
      </w:r>
      <w:r w:rsidR="0015757D" w:rsidRPr="00042102">
        <w:rPr>
          <w:rFonts w:ascii="Times" w:hAnsi="Times"/>
          <w:lang w:val="en-US"/>
        </w:rPr>
        <w:t xml:space="preserve">legal </w:t>
      </w:r>
      <w:r w:rsidR="00B04D93" w:rsidRPr="00042102">
        <w:rPr>
          <w:rFonts w:ascii="Times" w:hAnsi="Times"/>
          <w:lang w:val="en-US"/>
        </w:rPr>
        <w:t>permissibility of these services.</w:t>
      </w:r>
      <w:r w:rsidR="00564764" w:rsidRPr="00042102">
        <w:rPr>
          <w:rFonts w:ascii="Times" w:hAnsi="Times"/>
          <w:lang w:val="en-US"/>
        </w:rPr>
        <w:t xml:space="preserve"> I agree that precise regulatory processes are essential,</w:t>
      </w:r>
      <w:r w:rsidR="00B04D93" w:rsidRPr="00042102">
        <w:rPr>
          <w:rFonts w:ascii="Times" w:hAnsi="Times"/>
          <w:lang w:val="en-US"/>
        </w:rPr>
        <w:t xml:space="preserve"> </w:t>
      </w:r>
      <w:r w:rsidR="00564764" w:rsidRPr="00042102">
        <w:rPr>
          <w:rFonts w:ascii="Times" w:hAnsi="Times"/>
          <w:lang w:val="en-US"/>
        </w:rPr>
        <w:t xml:space="preserve">but </w:t>
      </w:r>
      <w:r w:rsidR="0072085C" w:rsidRPr="00042102">
        <w:rPr>
          <w:rFonts w:ascii="Times" w:hAnsi="Times"/>
          <w:lang w:val="en-US"/>
        </w:rPr>
        <w:t>m</w:t>
      </w:r>
      <w:r w:rsidR="00B04D93" w:rsidRPr="00042102">
        <w:rPr>
          <w:rFonts w:ascii="Times" w:hAnsi="Times"/>
          <w:lang w:val="en-US"/>
        </w:rPr>
        <w:t xml:space="preserve">y argument about the privacy-influenced autonomy harms of DTC genetic testing </w:t>
      </w:r>
      <w:r w:rsidR="0072085C" w:rsidRPr="00042102">
        <w:rPr>
          <w:rFonts w:ascii="Times" w:hAnsi="Times"/>
          <w:lang w:val="en-US"/>
        </w:rPr>
        <w:t>may weaken this case somewhat.</w:t>
      </w:r>
      <w:r w:rsidR="0076585A">
        <w:rPr>
          <w:rFonts w:ascii="Times" w:hAnsi="Times"/>
          <w:lang w:val="en-US"/>
        </w:rPr>
        <w:t xml:space="preserve"> </w:t>
      </w:r>
      <w:r w:rsidR="00684613">
        <w:rPr>
          <w:rFonts w:ascii="Times" w:hAnsi="Times"/>
          <w:lang w:val="en-US"/>
        </w:rPr>
        <w:t>This is because it may close or impact one’s options long after a person takes these tests and in ways they might not be aware</w:t>
      </w:r>
      <w:r w:rsidR="00576D84">
        <w:rPr>
          <w:rFonts w:ascii="Times" w:hAnsi="Times"/>
          <w:lang w:val="en-US"/>
        </w:rPr>
        <w:t xml:space="preserve"> of</w:t>
      </w:r>
      <w:r w:rsidR="00684613">
        <w:rPr>
          <w:rFonts w:ascii="Times" w:hAnsi="Times"/>
          <w:lang w:val="en-US"/>
        </w:rPr>
        <w:t>.</w:t>
      </w:r>
      <w:r w:rsidR="0072085C" w:rsidRPr="00042102">
        <w:rPr>
          <w:rFonts w:ascii="Times" w:hAnsi="Times"/>
          <w:lang w:val="en-US"/>
        </w:rPr>
        <w:t xml:space="preserve"> </w:t>
      </w:r>
      <w:r w:rsidR="00047F86" w:rsidRPr="00042102">
        <w:rPr>
          <w:rFonts w:ascii="Times" w:hAnsi="Times"/>
          <w:lang w:val="en-US"/>
        </w:rPr>
        <w:t xml:space="preserve">Of course, I am not claiming that this argument </w:t>
      </w:r>
      <w:r w:rsidR="004E40CA" w:rsidRPr="00042102">
        <w:rPr>
          <w:rFonts w:ascii="Times" w:hAnsi="Times"/>
          <w:lang w:val="en-US"/>
        </w:rPr>
        <w:t xml:space="preserve">is </w:t>
      </w:r>
      <w:r w:rsidR="00047F86" w:rsidRPr="00042102">
        <w:rPr>
          <w:rFonts w:ascii="Times" w:hAnsi="Times"/>
          <w:lang w:val="en-US"/>
        </w:rPr>
        <w:t xml:space="preserve">decisive with respect to whether DTC genetic </w:t>
      </w:r>
      <w:r w:rsidR="00A96786" w:rsidRPr="00042102">
        <w:rPr>
          <w:rFonts w:ascii="Times" w:hAnsi="Times"/>
          <w:lang w:val="en-US"/>
        </w:rPr>
        <w:t xml:space="preserve">tests </w:t>
      </w:r>
      <w:r w:rsidR="00047F86" w:rsidRPr="00042102">
        <w:rPr>
          <w:rFonts w:ascii="Times" w:hAnsi="Times"/>
          <w:lang w:val="en-US"/>
        </w:rPr>
        <w:t xml:space="preserve">should be permitted. </w:t>
      </w:r>
      <w:r w:rsidR="002B50B0" w:rsidRPr="00042102">
        <w:rPr>
          <w:rFonts w:ascii="Times" w:hAnsi="Times"/>
          <w:lang w:val="en-US"/>
        </w:rPr>
        <w:t xml:space="preserve">At </w:t>
      </w:r>
      <w:r w:rsidR="00745B19" w:rsidRPr="00042102">
        <w:rPr>
          <w:rFonts w:ascii="Times" w:hAnsi="Times"/>
          <w:lang w:val="en-US"/>
        </w:rPr>
        <w:t>best,</w:t>
      </w:r>
      <w:r w:rsidR="0015757D" w:rsidRPr="00042102">
        <w:rPr>
          <w:rFonts w:ascii="Times" w:hAnsi="Times"/>
          <w:lang w:val="en-US"/>
        </w:rPr>
        <w:t xml:space="preserve"> </w:t>
      </w:r>
      <w:r w:rsidR="00047F86" w:rsidRPr="00042102">
        <w:rPr>
          <w:rFonts w:ascii="Times" w:hAnsi="Times"/>
          <w:lang w:val="en-US"/>
        </w:rPr>
        <w:t xml:space="preserve">I hope to have pointed out </w:t>
      </w:r>
      <w:r w:rsidR="00F47EB9" w:rsidRPr="00042102">
        <w:rPr>
          <w:rFonts w:ascii="Times" w:hAnsi="Times"/>
          <w:lang w:val="en-US"/>
        </w:rPr>
        <w:t>another</w:t>
      </w:r>
      <w:r w:rsidR="00047F86" w:rsidRPr="00042102">
        <w:rPr>
          <w:rFonts w:ascii="Times" w:hAnsi="Times"/>
          <w:lang w:val="en-US"/>
        </w:rPr>
        <w:t xml:space="preserve"> </w:t>
      </w:r>
      <w:r w:rsidR="00A54353" w:rsidRPr="00042102">
        <w:rPr>
          <w:rFonts w:ascii="Times" w:hAnsi="Times"/>
          <w:lang w:val="en-US"/>
        </w:rPr>
        <w:t xml:space="preserve">kind of </w:t>
      </w:r>
      <w:r w:rsidR="002B50B0" w:rsidRPr="00042102">
        <w:rPr>
          <w:rFonts w:ascii="Times" w:hAnsi="Times"/>
          <w:lang w:val="en-US"/>
        </w:rPr>
        <w:t>autonomy-related harm that must be weighed against the autonomy-related gains</w:t>
      </w:r>
      <w:r w:rsidR="00FC574B">
        <w:rPr>
          <w:rFonts w:ascii="Times" w:hAnsi="Times"/>
          <w:lang w:val="en-US"/>
        </w:rPr>
        <w:t xml:space="preserve"> </w:t>
      </w:r>
      <w:r w:rsidR="00B72C3D">
        <w:rPr>
          <w:rFonts w:ascii="Times" w:hAnsi="Times"/>
          <w:lang w:val="en-US"/>
        </w:rPr>
        <w:t>these</w:t>
      </w:r>
      <w:r w:rsidR="00FC574B">
        <w:rPr>
          <w:rFonts w:ascii="Times" w:hAnsi="Times"/>
          <w:lang w:val="en-US"/>
        </w:rPr>
        <w:t xml:space="preserve"> services</w:t>
      </w:r>
      <w:r w:rsidR="00B72C3D">
        <w:rPr>
          <w:rFonts w:ascii="Times" w:hAnsi="Times"/>
          <w:lang w:val="en-US"/>
        </w:rPr>
        <w:t xml:space="preserve"> provide.</w:t>
      </w:r>
    </w:p>
    <w:p w14:paraId="437E6603" w14:textId="2FAA4F3A" w:rsidR="00A77423" w:rsidRDefault="00A77423" w:rsidP="00A77423">
      <w:pPr>
        <w:rPr>
          <w:rFonts w:ascii="Times" w:hAnsi="Times"/>
        </w:rPr>
      </w:pPr>
    </w:p>
    <w:p w14:paraId="1FCE31D5" w14:textId="445A88ED" w:rsidR="00BA2D0A" w:rsidRDefault="00BA2D0A">
      <w:pPr>
        <w:rPr>
          <w:rFonts w:ascii="Times" w:hAnsi="Times"/>
          <w:lang w:val="en-US"/>
        </w:rPr>
      </w:pPr>
    </w:p>
    <w:p w14:paraId="6043D00D" w14:textId="147EEA0E" w:rsidR="00BA2D0A" w:rsidRDefault="00BA2D0A">
      <w:pPr>
        <w:rPr>
          <w:rFonts w:ascii="Times" w:hAnsi="Times"/>
          <w:lang w:val="en-US"/>
        </w:rPr>
      </w:pPr>
    </w:p>
    <w:p w14:paraId="63E5C51E" w14:textId="0684804B" w:rsidR="00C1106D" w:rsidRPr="008C2B47" w:rsidRDefault="008C2B47">
      <w:pPr>
        <w:rPr>
          <w:rFonts w:ascii="Times" w:hAnsi="Times"/>
          <w:b/>
          <w:bCs/>
          <w:lang w:val="en-US"/>
        </w:rPr>
      </w:pPr>
      <w:r>
        <w:rPr>
          <w:rFonts w:ascii="Times" w:hAnsi="Times"/>
          <w:b/>
          <w:bCs/>
          <w:lang w:val="en-US"/>
        </w:rPr>
        <w:t>References</w:t>
      </w:r>
    </w:p>
    <w:sectPr w:rsidR="00C1106D" w:rsidRPr="008C2B4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6709" w14:textId="77777777" w:rsidR="008C4360" w:rsidRDefault="008C4360" w:rsidP="00193299">
      <w:r>
        <w:separator/>
      </w:r>
    </w:p>
  </w:endnote>
  <w:endnote w:type="continuationSeparator" w:id="0">
    <w:p w14:paraId="141C6AC5" w14:textId="77777777" w:rsidR="008C4360" w:rsidRDefault="008C4360" w:rsidP="00193299">
      <w:r>
        <w:continuationSeparator/>
      </w:r>
    </w:p>
  </w:endnote>
  <w:endnote w:id="1">
    <w:p w14:paraId="7D03BCB8" w14:textId="198F803B" w:rsidR="006F39D7" w:rsidRPr="006F39D7" w:rsidRDefault="006F39D7">
      <w:pPr>
        <w:pStyle w:val="Eindnoottekst"/>
        <w:rPr>
          <w:rFonts w:ascii="Times" w:hAnsi="Times"/>
          <w:lang w:val="en-US"/>
        </w:rPr>
      </w:pPr>
      <w:r>
        <w:rPr>
          <w:rStyle w:val="Eindnootmarkering"/>
        </w:rPr>
        <w:endnoteRef/>
      </w:r>
      <w:r>
        <w:t xml:space="preserve"> </w:t>
      </w:r>
      <w:r w:rsidRPr="006F39D7">
        <w:rPr>
          <w:rFonts w:ascii="Times" w:hAnsi="Times"/>
          <w:lang w:val="en-US"/>
        </w:rPr>
        <w:t xml:space="preserve">Vayena, E. Direct-to-consumer genetic testing on the scales of autonomy. </w:t>
      </w:r>
      <w:r w:rsidRPr="006F39D7">
        <w:rPr>
          <w:rFonts w:ascii="Times" w:hAnsi="Times"/>
          <w:i/>
          <w:iCs/>
          <w:lang w:val="en-US"/>
        </w:rPr>
        <w:t xml:space="preserve">J Med Ethics, </w:t>
      </w:r>
      <w:r w:rsidRPr="006F39D7">
        <w:rPr>
          <w:rFonts w:ascii="Times" w:hAnsi="Times"/>
          <w:lang w:val="en-US"/>
        </w:rPr>
        <w:t>2015;41:310-314.</w:t>
      </w:r>
    </w:p>
  </w:endnote>
  <w:endnote w:id="2">
    <w:p w14:paraId="66603449" w14:textId="35DE1AFC" w:rsidR="009C31DE" w:rsidRPr="006F39D7" w:rsidRDefault="009C31DE">
      <w:pPr>
        <w:pStyle w:val="Eindnoottekst"/>
        <w:rPr>
          <w:rFonts w:ascii="Times" w:hAnsi="Times"/>
          <w:lang w:val="en-US"/>
        </w:rPr>
      </w:pPr>
      <w:r w:rsidRPr="006F39D7">
        <w:rPr>
          <w:rStyle w:val="Eindnootmarkering"/>
          <w:rFonts w:ascii="Times" w:hAnsi="Times"/>
        </w:rPr>
        <w:endnoteRef/>
      </w:r>
      <w:r w:rsidRPr="006F39D7">
        <w:rPr>
          <w:rFonts w:ascii="Times" w:hAnsi="Times"/>
        </w:rPr>
        <w:t xml:space="preserve"> </w:t>
      </w:r>
      <w:proofErr w:type="spellStart"/>
      <w:r w:rsidRPr="006F39D7">
        <w:rPr>
          <w:rFonts w:ascii="Times" w:hAnsi="Times"/>
          <w:lang w:val="en-US"/>
        </w:rPr>
        <w:t>Holpuch</w:t>
      </w:r>
      <w:proofErr w:type="spellEnd"/>
      <w:r w:rsidRPr="006F39D7">
        <w:rPr>
          <w:rFonts w:ascii="Times" w:hAnsi="Times"/>
          <w:lang w:val="en-US"/>
        </w:rPr>
        <w:t xml:space="preserve">, A. FDA orders genetic company 23andMe to cease marketing of screening service. The Guardian. 2013. </w:t>
      </w:r>
      <w:r w:rsidRPr="006F39D7">
        <w:rPr>
          <w:rFonts w:ascii="Times" w:hAnsi="Times"/>
        </w:rPr>
        <w:t>https://www.theguardian.com/science/2013/nov/25/genetics-23andme-fda-marketing-pgs-screenin</w:t>
      </w:r>
      <w:r w:rsidR="00914719" w:rsidRPr="006F39D7">
        <w:rPr>
          <w:rFonts w:ascii="Times" w:hAnsi="Times"/>
          <w:lang w:val="en-US"/>
        </w:rPr>
        <w:t>g.</w:t>
      </w:r>
    </w:p>
  </w:endnote>
  <w:endnote w:id="3">
    <w:p w14:paraId="0CE9AA00" w14:textId="49264699" w:rsidR="00914719" w:rsidRPr="006F39D7" w:rsidRDefault="00914719">
      <w:pPr>
        <w:pStyle w:val="Eindnoottekst"/>
        <w:rPr>
          <w:rFonts w:ascii="Times" w:hAnsi="Times"/>
        </w:rPr>
      </w:pPr>
      <w:r w:rsidRPr="006F39D7">
        <w:rPr>
          <w:rStyle w:val="Eindnootmarkering"/>
          <w:rFonts w:ascii="Times" w:hAnsi="Times"/>
        </w:rPr>
        <w:endnoteRef/>
      </w:r>
      <w:r w:rsidRPr="006F39D7">
        <w:rPr>
          <w:rFonts w:ascii="Times" w:hAnsi="Times"/>
        </w:rPr>
        <w:t xml:space="preserve"> </w:t>
      </w:r>
      <w:r w:rsidRPr="00A77423">
        <w:rPr>
          <w:rFonts w:ascii="Times" w:hAnsi="Times"/>
        </w:rPr>
        <w:t>Raz J. The morality of freedom. New York: Oxford University Press, 1986</w:t>
      </w:r>
      <w:r w:rsidRPr="006F39D7">
        <w:rPr>
          <w:rFonts w:ascii="Times" w:hAnsi="Times"/>
          <w:lang w:val="en-US"/>
        </w:rPr>
        <w:t>.</w:t>
      </w:r>
      <w:r w:rsidRPr="00A77423">
        <w:rPr>
          <w:rFonts w:ascii="Times" w:hAnsi="Times"/>
        </w:rPr>
        <w:t xml:space="preserve"> </w:t>
      </w:r>
    </w:p>
  </w:endnote>
  <w:endnote w:id="4">
    <w:p w14:paraId="4D0DE9B6" w14:textId="123FD438" w:rsidR="00914719" w:rsidRPr="006F39D7" w:rsidRDefault="00914719">
      <w:pPr>
        <w:pStyle w:val="Eindnoottekst"/>
        <w:rPr>
          <w:rFonts w:ascii="Times" w:hAnsi="Times"/>
          <w:lang w:val="en-US"/>
        </w:rPr>
      </w:pPr>
      <w:r w:rsidRPr="006F39D7">
        <w:rPr>
          <w:rStyle w:val="Eindnootmarkering"/>
          <w:rFonts w:ascii="Times" w:hAnsi="Times"/>
        </w:rPr>
        <w:endnoteRef/>
      </w:r>
      <w:r w:rsidRPr="006F39D7">
        <w:rPr>
          <w:rFonts w:ascii="Times" w:hAnsi="Times"/>
        </w:rPr>
        <w:t xml:space="preserve"> </w:t>
      </w:r>
      <w:proofErr w:type="spellStart"/>
      <w:r w:rsidRPr="006F39D7">
        <w:rPr>
          <w:rFonts w:ascii="Times" w:hAnsi="Times"/>
          <w:lang w:val="en-US"/>
        </w:rPr>
        <w:t>Véliz</w:t>
      </w:r>
      <w:proofErr w:type="spellEnd"/>
      <w:r w:rsidRPr="006F39D7">
        <w:rPr>
          <w:rFonts w:ascii="Times" w:hAnsi="Times"/>
          <w:lang w:val="en-US"/>
        </w:rPr>
        <w:t xml:space="preserve">, C. Privacy is Power: Why and How You Should Take Back Control of Your Data. London: Bantam Press, 2020. </w:t>
      </w:r>
    </w:p>
  </w:endnote>
  <w:endnote w:id="5">
    <w:p w14:paraId="56F0D660" w14:textId="6605D857" w:rsidR="00C1106D" w:rsidRPr="006F39D7" w:rsidRDefault="00C1106D">
      <w:pPr>
        <w:pStyle w:val="Eindnoottekst"/>
        <w:rPr>
          <w:rFonts w:ascii="Times" w:hAnsi="Times"/>
          <w:lang w:val="en-US"/>
        </w:rPr>
      </w:pPr>
      <w:r w:rsidRPr="006F39D7">
        <w:rPr>
          <w:rStyle w:val="Eindnootmarkering"/>
          <w:rFonts w:ascii="Times" w:hAnsi="Times"/>
        </w:rPr>
        <w:endnoteRef/>
      </w:r>
      <w:r w:rsidRPr="006F39D7">
        <w:rPr>
          <w:rFonts w:ascii="Times" w:hAnsi="Times"/>
        </w:rPr>
        <w:t xml:space="preserve"> </w:t>
      </w:r>
      <w:proofErr w:type="spellStart"/>
      <w:r w:rsidRPr="006F39D7">
        <w:rPr>
          <w:rFonts w:ascii="Times" w:hAnsi="Times"/>
          <w:lang w:val="en-US"/>
        </w:rPr>
        <w:t>Skopek</w:t>
      </w:r>
      <w:proofErr w:type="spellEnd"/>
      <w:r w:rsidRPr="006F39D7">
        <w:rPr>
          <w:rFonts w:ascii="Times" w:hAnsi="Times"/>
          <w:lang w:val="en-US"/>
        </w:rPr>
        <w:t xml:space="preserve">, J.M. Untangling Privacy: Losses Versus Violations. </w:t>
      </w:r>
      <w:r w:rsidRPr="006F39D7">
        <w:rPr>
          <w:rFonts w:ascii="Times" w:hAnsi="Times"/>
          <w:i/>
          <w:iCs/>
          <w:lang w:val="en-US"/>
        </w:rPr>
        <w:t>Iowa Law Review</w:t>
      </w:r>
      <w:r w:rsidRPr="006F39D7">
        <w:rPr>
          <w:rFonts w:ascii="Times" w:hAnsi="Times"/>
          <w:lang w:val="en-US"/>
        </w:rPr>
        <w:t>, 2020;105:2169-2232.</w:t>
      </w:r>
    </w:p>
  </w:endnote>
  <w:endnote w:id="6">
    <w:p w14:paraId="48C8606B" w14:textId="77777777" w:rsidR="00A62BDF" w:rsidRPr="006F39D7" w:rsidRDefault="00A62BDF" w:rsidP="00A62BDF">
      <w:pPr>
        <w:pStyle w:val="Eindnoottekst"/>
        <w:rPr>
          <w:rFonts w:ascii="Times" w:hAnsi="Times"/>
          <w:lang w:val="en-US"/>
        </w:rPr>
      </w:pPr>
      <w:r w:rsidRPr="006F39D7">
        <w:rPr>
          <w:rStyle w:val="Eindnootmarkering"/>
          <w:rFonts w:ascii="Times" w:hAnsi="Times"/>
        </w:rPr>
        <w:endnoteRef/>
      </w:r>
      <w:r w:rsidRPr="006F39D7">
        <w:rPr>
          <w:rFonts w:ascii="Times" w:hAnsi="Times"/>
        </w:rPr>
        <w:t xml:space="preserve"> </w:t>
      </w:r>
      <w:r w:rsidRPr="006F39D7">
        <w:rPr>
          <w:rFonts w:ascii="Times" w:hAnsi="Times"/>
          <w:lang w:val="en-US"/>
        </w:rPr>
        <w:t>Brown, K.V. What DNA Testing Companies’ Terrifying Privacy Policies Actually Mean. Gizmodo. 2017. https://gizmodo.com/what-dna-testing-companies-terrifying-privacy-policies-1819158337 (accessed 5 November 2021).</w:t>
      </w:r>
    </w:p>
    <w:p w14:paraId="34C9B718" w14:textId="4A27C3C2" w:rsidR="00A62BDF" w:rsidRPr="00473881" w:rsidRDefault="00A62BDF">
      <w:pPr>
        <w:pStyle w:val="Eindnoottekst"/>
        <w:rPr>
          <w:rFonts w:ascii="Times" w:hAnsi="Times"/>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C33A" w14:textId="77777777" w:rsidR="008C4360" w:rsidRDefault="008C4360" w:rsidP="00193299">
      <w:r>
        <w:separator/>
      </w:r>
    </w:p>
  </w:footnote>
  <w:footnote w:type="continuationSeparator" w:id="0">
    <w:p w14:paraId="22292A1D" w14:textId="77777777" w:rsidR="008C4360" w:rsidRDefault="008C4360" w:rsidP="0019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1C19"/>
    <w:multiLevelType w:val="multilevel"/>
    <w:tmpl w:val="20A8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A1348"/>
    <w:multiLevelType w:val="multilevel"/>
    <w:tmpl w:val="B050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5"/>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F"/>
    <w:rsid w:val="000034D0"/>
    <w:rsid w:val="00010A86"/>
    <w:rsid w:val="00015EDB"/>
    <w:rsid w:val="0003694A"/>
    <w:rsid w:val="00042102"/>
    <w:rsid w:val="00047F86"/>
    <w:rsid w:val="00091E71"/>
    <w:rsid w:val="000A45EF"/>
    <w:rsid w:val="000C1B1B"/>
    <w:rsid w:val="000C7593"/>
    <w:rsid w:val="000D1AD0"/>
    <w:rsid w:val="000D3203"/>
    <w:rsid w:val="000E09BF"/>
    <w:rsid w:val="000F19E1"/>
    <w:rsid w:val="00115D42"/>
    <w:rsid w:val="0012375C"/>
    <w:rsid w:val="00131B21"/>
    <w:rsid w:val="00136B39"/>
    <w:rsid w:val="00147233"/>
    <w:rsid w:val="0015757D"/>
    <w:rsid w:val="00193299"/>
    <w:rsid w:val="001A71C5"/>
    <w:rsid w:val="001B594D"/>
    <w:rsid w:val="001E059C"/>
    <w:rsid w:val="001F0354"/>
    <w:rsid w:val="002006D2"/>
    <w:rsid w:val="00224973"/>
    <w:rsid w:val="00224C28"/>
    <w:rsid w:val="00237364"/>
    <w:rsid w:val="00276E08"/>
    <w:rsid w:val="00287F42"/>
    <w:rsid w:val="0029421A"/>
    <w:rsid w:val="002A1F4D"/>
    <w:rsid w:val="002B50B0"/>
    <w:rsid w:val="002C72EC"/>
    <w:rsid w:val="002E3CC0"/>
    <w:rsid w:val="002E69A2"/>
    <w:rsid w:val="00300115"/>
    <w:rsid w:val="003312BC"/>
    <w:rsid w:val="003662C7"/>
    <w:rsid w:val="003677FB"/>
    <w:rsid w:val="003B41CB"/>
    <w:rsid w:val="003E13F4"/>
    <w:rsid w:val="003E323C"/>
    <w:rsid w:val="003E5381"/>
    <w:rsid w:val="003F4997"/>
    <w:rsid w:val="004078D6"/>
    <w:rsid w:val="00410122"/>
    <w:rsid w:val="004614D3"/>
    <w:rsid w:val="00470A67"/>
    <w:rsid w:val="00473881"/>
    <w:rsid w:val="00473D8C"/>
    <w:rsid w:val="004810A2"/>
    <w:rsid w:val="004842BC"/>
    <w:rsid w:val="004975C4"/>
    <w:rsid w:val="004B2739"/>
    <w:rsid w:val="004B2E74"/>
    <w:rsid w:val="004C4386"/>
    <w:rsid w:val="004C4583"/>
    <w:rsid w:val="004E40CA"/>
    <w:rsid w:val="004E69B2"/>
    <w:rsid w:val="00552F4E"/>
    <w:rsid w:val="00564764"/>
    <w:rsid w:val="0056700F"/>
    <w:rsid w:val="005701E4"/>
    <w:rsid w:val="00576D84"/>
    <w:rsid w:val="005A5986"/>
    <w:rsid w:val="005B249C"/>
    <w:rsid w:val="005D1B8F"/>
    <w:rsid w:val="005E0296"/>
    <w:rsid w:val="005F24CA"/>
    <w:rsid w:val="00622FAB"/>
    <w:rsid w:val="0065507A"/>
    <w:rsid w:val="00684613"/>
    <w:rsid w:val="00690681"/>
    <w:rsid w:val="006970A3"/>
    <w:rsid w:val="006A28F7"/>
    <w:rsid w:val="006F39D7"/>
    <w:rsid w:val="0072085C"/>
    <w:rsid w:val="007209B2"/>
    <w:rsid w:val="00727D75"/>
    <w:rsid w:val="007324B7"/>
    <w:rsid w:val="0074343F"/>
    <w:rsid w:val="00745B19"/>
    <w:rsid w:val="0075097D"/>
    <w:rsid w:val="00752AD5"/>
    <w:rsid w:val="0076585A"/>
    <w:rsid w:val="00766077"/>
    <w:rsid w:val="00785169"/>
    <w:rsid w:val="007973AD"/>
    <w:rsid w:val="007B4A38"/>
    <w:rsid w:val="007B538C"/>
    <w:rsid w:val="007B7753"/>
    <w:rsid w:val="00802F02"/>
    <w:rsid w:val="00812A8C"/>
    <w:rsid w:val="00822D76"/>
    <w:rsid w:val="008375E2"/>
    <w:rsid w:val="008467F4"/>
    <w:rsid w:val="00854980"/>
    <w:rsid w:val="008A21A7"/>
    <w:rsid w:val="008A4B22"/>
    <w:rsid w:val="008B6AA7"/>
    <w:rsid w:val="008C2B47"/>
    <w:rsid w:val="008C4360"/>
    <w:rsid w:val="008C6F05"/>
    <w:rsid w:val="008D49D4"/>
    <w:rsid w:val="00900228"/>
    <w:rsid w:val="00904736"/>
    <w:rsid w:val="00914719"/>
    <w:rsid w:val="00923F8C"/>
    <w:rsid w:val="00947B0B"/>
    <w:rsid w:val="009A6B12"/>
    <w:rsid w:val="009B690A"/>
    <w:rsid w:val="009C01E0"/>
    <w:rsid w:val="009C31DD"/>
    <w:rsid w:val="009C31DE"/>
    <w:rsid w:val="009F3222"/>
    <w:rsid w:val="00A21CA0"/>
    <w:rsid w:val="00A2562A"/>
    <w:rsid w:val="00A54353"/>
    <w:rsid w:val="00A62BDF"/>
    <w:rsid w:val="00A77423"/>
    <w:rsid w:val="00A96786"/>
    <w:rsid w:val="00AF4ED5"/>
    <w:rsid w:val="00B012F1"/>
    <w:rsid w:val="00B03CBC"/>
    <w:rsid w:val="00B04D93"/>
    <w:rsid w:val="00B055A3"/>
    <w:rsid w:val="00B2688C"/>
    <w:rsid w:val="00B27DCA"/>
    <w:rsid w:val="00B72C3D"/>
    <w:rsid w:val="00BA2D0A"/>
    <w:rsid w:val="00C060FD"/>
    <w:rsid w:val="00C1106D"/>
    <w:rsid w:val="00C14570"/>
    <w:rsid w:val="00C33656"/>
    <w:rsid w:val="00C829B2"/>
    <w:rsid w:val="00C83A52"/>
    <w:rsid w:val="00C85920"/>
    <w:rsid w:val="00C867C0"/>
    <w:rsid w:val="00C9121C"/>
    <w:rsid w:val="00CA49E4"/>
    <w:rsid w:val="00CA5B92"/>
    <w:rsid w:val="00CB2D9D"/>
    <w:rsid w:val="00CB7FDA"/>
    <w:rsid w:val="00CD3B49"/>
    <w:rsid w:val="00D21A0D"/>
    <w:rsid w:val="00D5652A"/>
    <w:rsid w:val="00D57FF6"/>
    <w:rsid w:val="00D60586"/>
    <w:rsid w:val="00D76A0D"/>
    <w:rsid w:val="00DD712B"/>
    <w:rsid w:val="00DF356B"/>
    <w:rsid w:val="00E16F33"/>
    <w:rsid w:val="00E42D92"/>
    <w:rsid w:val="00E43D09"/>
    <w:rsid w:val="00E63D33"/>
    <w:rsid w:val="00E72FF2"/>
    <w:rsid w:val="00E74174"/>
    <w:rsid w:val="00E96E36"/>
    <w:rsid w:val="00EA0CB1"/>
    <w:rsid w:val="00EB3BD2"/>
    <w:rsid w:val="00EB618A"/>
    <w:rsid w:val="00F23C72"/>
    <w:rsid w:val="00F24017"/>
    <w:rsid w:val="00F26190"/>
    <w:rsid w:val="00F47EB9"/>
    <w:rsid w:val="00F54294"/>
    <w:rsid w:val="00FC574B"/>
    <w:rsid w:val="00FD0C31"/>
  </w:rsids>
  <m:mathPr>
    <m:mathFont m:val="Cambria Math"/>
    <m:brkBin m:val="before"/>
    <m:brkBinSub m:val="--"/>
    <m:smallFrac m:val="0"/>
    <m:dispDef/>
    <m:lMargin m:val="0"/>
    <m:rMargin m:val="0"/>
    <m:defJc m:val="centerGroup"/>
    <m:wrapIndent m:val="1440"/>
    <m:intLim m:val="subSup"/>
    <m:naryLim m:val="undOvr"/>
  </m:mathPr>
  <w:themeFontLang w:val="n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FAE4"/>
  <w15:chartTrackingRefBased/>
  <w15:docId w15:val="{7B63B9EC-43AB-4B47-BF60-B6227817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193299"/>
    <w:rPr>
      <w:sz w:val="20"/>
      <w:szCs w:val="20"/>
    </w:rPr>
  </w:style>
  <w:style w:type="character" w:customStyle="1" w:styleId="EindnoottekstChar">
    <w:name w:val="Eindnoottekst Char"/>
    <w:basedOn w:val="Standaardalinea-lettertype"/>
    <w:link w:val="Eindnoottekst"/>
    <w:uiPriority w:val="99"/>
    <w:semiHidden/>
    <w:rsid w:val="00193299"/>
    <w:rPr>
      <w:sz w:val="20"/>
      <w:szCs w:val="20"/>
    </w:rPr>
  </w:style>
  <w:style w:type="character" w:styleId="Eindnootmarkering">
    <w:name w:val="endnote reference"/>
    <w:basedOn w:val="Standaardalinea-lettertype"/>
    <w:uiPriority w:val="99"/>
    <w:semiHidden/>
    <w:unhideWhenUsed/>
    <w:rsid w:val="00193299"/>
    <w:rPr>
      <w:vertAlign w:val="superscript"/>
    </w:rPr>
  </w:style>
  <w:style w:type="paragraph" w:styleId="Normaalweb">
    <w:name w:val="Normal (Web)"/>
    <w:basedOn w:val="Standaard"/>
    <w:uiPriority w:val="99"/>
    <w:semiHidden/>
    <w:unhideWhenUsed/>
    <w:rsid w:val="00622FAB"/>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622FAB"/>
    <w:rPr>
      <w:sz w:val="20"/>
      <w:szCs w:val="20"/>
    </w:rPr>
  </w:style>
  <w:style w:type="character" w:customStyle="1" w:styleId="VoetnoottekstChar">
    <w:name w:val="Voetnoottekst Char"/>
    <w:basedOn w:val="Standaardalinea-lettertype"/>
    <w:link w:val="Voetnoottekst"/>
    <w:uiPriority w:val="99"/>
    <w:semiHidden/>
    <w:rsid w:val="00622FAB"/>
    <w:rPr>
      <w:sz w:val="20"/>
      <w:szCs w:val="20"/>
    </w:rPr>
  </w:style>
  <w:style w:type="character" w:styleId="Voetnootmarkering">
    <w:name w:val="footnote reference"/>
    <w:basedOn w:val="Standaardalinea-lettertype"/>
    <w:uiPriority w:val="99"/>
    <w:semiHidden/>
    <w:unhideWhenUsed/>
    <w:rsid w:val="00622FAB"/>
    <w:rPr>
      <w:vertAlign w:val="superscript"/>
    </w:rPr>
  </w:style>
  <w:style w:type="character" w:styleId="Hyperlink">
    <w:name w:val="Hyperlink"/>
    <w:basedOn w:val="Standaardalinea-lettertype"/>
    <w:uiPriority w:val="99"/>
    <w:unhideWhenUsed/>
    <w:rsid w:val="00D5652A"/>
    <w:rPr>
      <w:color w:val="0563C1" w:themeColor="hyperlink"/>
      <w:u w:val="single"/>
    </w:rPr>
  </w:style>
  <w:style w:type="character" w:styleId="Onopgelostemelding">
    <w:name w:val="Unresolved Mention"/>
    <w:basedOn w:val="Standaardalinea-lettertype"/>
    <w:uiPriority w:val="99"/>
    <w:semiHidden/>
    <w:unhideWhenUsed/>
    <w:rsid w:val="00D5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038">
      <w:bodyDiv w:val="1"/>
      <w:marLeft w:val="0"/>
      <w:marRight w:val="0"/>
      <w:marTop w:val="0"/>
      <w:marBottom w:val="0"/>
      <w:divBdr>
        <w:top w:val="none" w:sz="0" w:space="0" w:color="auto"/>
        <w:left w:val="none" w:sz="0" w:space="0" w:color="auto"/>
        <w:bottom w:val="none" w:sz="0" w:space="0" w:color="auto"/>
        <w:right w:val="none" w:sz="0" w:space="0" w:color="auto"/>
      </w:divBdr>
      <w:divsChild>
        <w:div w:id="131605930">
          <w:marLeft w:val="0"/>
          <w:marRight w:val="0"/>
          <w:marTop w:val="0"/>
          <w:marBottom w:val="0"/>
          <w:divBdr>
            <w:top w:val="none" w:sz="0" w:space="0" w:color="auto"/>
            <w:left w:val="none" w:sz="0" w:space="0" w:color="auto"/>
            <w:bottom w:val="none" w:sz="0" w:space="0" w:color="auto"/>
            <w:right w:val="none" w:sz="0" w:space="0" w:color="auto"/>
          </w:divBdr>
          <w:divsChild>
            <w:div w:id="43723846">
              <w:marLeft w:val="0"/>
              <w:marRight w:val="0"/>
              <w:marTop w:val="0"/>
              <w:marBottom w:val="0"/>
              <w:divBdr>
                <w:top w:val="none" w:sz="0" w:space="0" w:color="auto"/>
                <w:left w:val="none" w:sz="0" w:space="0" w:color="auto"/>
                <w:bottom w:val="none" w:sz="0" w:space="0" w:color="auto"/>
                <w:right w:val="none" w:sz="0" w:space="0" w:color="auto"/>
              </w:divBdr>
              <w:divsChild>
                <w:div w:id="504982849">
                  <w:marLeft w:val="0"/>
                  <w:marRight w:val="0"/>
                  <w:marTop w:val="0"/>
                  <w:marBottom w:val="0"/>
                  <w:divBdr>
                    <w:top w:val="none" w:sz="0" w:space="0" w:color="auto"/>
                    <w:left w:val="none" w:sz="0" w:space="0" w:color="auto"/>
                    <w:bottom w:val="none" w:sz="0" w:space="0" w:color="auto"/>
                    <w:right w:val="none" w:sz="0" w:space="0" w:color="auto"/>
                  </w:divBdr>
                  <w:divsChild>
                    <w:div w:id="1570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100481">
      <w:bodyDiv w:val="1"/>
      <w:marLeft w:val="0"/>
      <w:marRight w:val="0"/>
      <w:marTop w:val="0"/>
      <w:marBottom w:val="0"/>
      <w:divBdr>
        <w:top w:val="none" w:sz="0" w:space="0" w:color="auto"/>
        <w:left w:val="none" w:sz="0" w:space="0" w:color="auto"/>
        <w:bottom w:val="none" w:sz="0" w:space="0" w:color="auto"/>
        <w:right w:val="none" w:sz="0" w:space="0" w:color="auto"/>
      </w:divBdr>
    </w:div>
    <w:div w:id="574898202">
      <w:bodyDiv w:val="1"/>
      <w:marLeft w:val="0"/>
      <w:marRight w:val="0"/>
      <w:marTop w:val="0"/>
      <w:marBottom w:val="0"/>
      <w:divBdr>
        <w:top w:val="none" w:sz="0" w:space="0" w:color="auto"/>
        <w:left w:val="none" w:sz="0" w:space="0" w:color="auto"/>
        <w:bottom w:val="none" w:sz="0" w:space="0" w:color="auto"/>
        <w:right w:val="none" w:sz="0" w:space="0" w:color="auto"/>
      </w:divBdr>
      <w:divsChild>
        <w:div w:id="554508848">
          <w:marLeft w:val="0"/>
          <w:marRight w:val="0"/>
          <w:marTop w:val="0"/>
          <w:marBottom w:val="0"/>
          <w:divBdr>
            <w:top w:val="none" w:sz="0" w:space="0" w:color="auto"/>
            <w:left w:val="none" w:sz="0" w:space="0" w:color="auto"/>
            <w:bottom w:val="none" w:sz="0" w:space="0" w:color="auto"/>
            <w:right w:val="none" w:sz="0" w:space="0" w:color="auto"/>
          </w:divBdr>
          <w:divsChild>
            <w:div w:id="1393579912">
              <w:marLeft w:val="0"/>
              <w:marRight w:val="0"/>
              <w:marTop w:val="0"/>
              <w:marBottom w:val="0"/>
              <w:divBdr>
                <w:top w:val="none" w:sz="0" w:space="0" w:color="auto"/>
                <w:left w:val="none" w:sz="0" w:space="0" w:color="auto"/>
                <w:bottom w:val="none" w:sz="0" w:space="0" w:color="auto"/>
                <w:right w:val="none" w:sz="0" w:space="0" w:color="auto"/>
              </w:divBdr>
              <w:divsChild>
                <w:div w:id="1000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60791">
      <w:bodyDiv w:val="1"/>
      <w:marLeft w:val="0"/>
      <w:marRight w:val="0"/>
      <w:marTop w:val="0"/>
      <w:marBottom w:val="0"/>
      <w:divBdr>
        <w:top w:val="none" w:sz="0" w:space="0" w:color="auto"/>
        <w:left w:val="none" w:sz="0" w:space="0" w:color="auto"/>
        <w:bottom w:val="none" w:sz="0" w:space="0" w:color="auto"/>
        <w:right w:val="none" w:sz="0" w:space="0" w:color="auto"/>
      </w:divBdr>
      <w:divsChild>
        <w:div w:id="552271883">
          <w:marLeft w:val="0"/>
          <w:marRight w:val="0"/>
          <w:marTop w:val="0"/>
          <w:marBottom w:val="0"/>
          <w:divBdr>
            <w:top w:val="none" w:sz="0" w:space="0" w:color="auto"/>
            <w:left w:val="none" w:sz="0" w:space="0" w:color="auto"/>
            <w:bottom w:val="none" w:sz="0" w:space="0" w:color="auto"/>
            <w:right w:val="none" w:sz="0" w:space="0" w:color="auto"/>
          </w:divBdr>
          <w:divsChild>
            <w:div w:id="670255580">
              <w:marLeft w:val="0"/>
              <w:marRight w:val="0"/>
              <w:marTop w:val="0"/>
              <w:marBottom w:val="0"/>
              <w:divBdr>
                <w:top w:val="none" w:sz="0" w:space="0" w:color="auto"/>
                <w:left w:val="none" w:sz="0" w:space="0" w:color="auto"/>
                <w:bottom w:val="none" w:sz="0" w:space="0" w:color="auto"/>
                <w:right w:val="none" w:sz="0" w:space="0" w:color="auto"/>
              </w:divBdr>
              <w:divsChild>
                <w:div w:id="1337464461">
                  <w:marLeft w:val="0"/>
                  <w:marRight w:val="0"/>
                  <w:marTop w:val="0"/>
                  <w:marBottom w:val="0"/>
                  <w:divBdr>
                    <w:top w:val="none" w:sz="0" w:space="0" w:color="auto"/>
                    <w:left w:val="none" w:sz="0" w:space="0" w:color="auto"/>
                    <w:bottom w:val="none" w:sz="0" w:space="0" w:color="auto"/>
                    <w:right w:val="none" w:sz="0" w:space="0" w:color="auto"/>
                  </w:divBdr>
                  <w:divsChild>
                    <w:div w:id="1847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73530">
      <w:bodyDiv w:val="1"/>
      <w:marLeft w:val="0"/>
      <w:marRight w:val="0"/>
      <w:marTop w:val="0"/>
      <w:marBottom w:val="0"/>
      <w:divBdr>
        <w:top w:val="none" w:sz="0" w:space="0" w:color="auto"/>
        <w:left w:val="none" w:sz="0" w:space="0" w:color="auto"/>
        <w:bottom w:val="none" w:sz="0" w:space="0" w:color="auto"/>
        <w:right w:val="none" w:sz="0" w:space="0" w:color="auto"/>
      </w:divBdr>
    </w:div>
    <w:div w:id="1902255388">
      <w:bodyDiv w:val="1"/>
      <w:marLeft w:val="0"/>
      <w:marRight w:val="0"/>
      <w:marTop w:val="0"/>
      <w:marBottom w:val="0"/>
      <w:divBdr>
        <w:top w:val="none" w:sz="0" w:space="0" w:color="auto"/>
        <w:left w:val="none" w:sz="0" w:space="0" w:color="auto"/>
        <w:bottom w:val="none" w:sz="0" w:space="0" w:color="auto"/>
        <w:right w:val="none" w:sz="0" w:space="0" w:color="auto"/>
      </w:divBdr>
      <w:divsChild>
        <w:div w:id="133257799">
          <w:marLeft w:val="0"/>
          <w:marRight w:val="0"/>
          <w:marTop w:val="0"/>
          <w:marBottom w:val="0"/>
          <w:divBdr>
            <w:top w:val="none" w:sz="0" w:space="0" w:color="auto"/>
            <w:left w:val="none" w:sz="0" w:space="0" w:color="auto"/>
            <w:bottom w:val="none" w:sz="0" w:space="0" w:color="auto"/>
            <w:right w:val="none" w:sz="0" w:space="0" w:color="auto"/>
          </w:divBdr>
          <w:divsChild>
            <w:div w:id="1229145453">
              <w:marLeft w:val="0"/>
              <w:marRight w:val="0"/>
              <w:marTop w:val="0"/>
              <w:marBottom w:val="0"/>
              <w:divBdr>
                <w:top w:val="none" w:sz="0" w:space="0" w:color="auto"/>
                <w:left w:val="none" w:sz="0" w:space="0" w:color="auto"/>
                <w:bottom w:val="none" w:sz="0" w:space="0" w:color="auto"/>
                <w:right w:val="none" w:sz="0" w:space="0" w:color="auto"/>
              </w:divBdr>
              <w:divsChild>
                <w:div w:id="1618020961">
                  <w:marLeft w:val="0"/>
                  <w:marRight w:val="0"/>
                  <w:marTop w:val="0"/>
                  <w:marBottom w:val="0"/>
                  <w:divBdr>
                    <w:top w:val="none" w:sz="0" w:space="0" w:color="auto"/>
                    <w:left w:val="none" w:sz="0" w:space="0" w:color="auto"/>
                    <w:bottom w:val="none" w:sz="0" w:space="0" w:color="auto"/>
                    <w:right w:val="none" w:sz="0" w:space="0" w:color="auto"/>
                  </w:divBdr>
                  <w:divsChild>
                    <w:div w:id="1872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2482">
      <w:bodyDiv w:val="1"/>
      <w:marLeft w:val="0"/>
      <w:marRight w:val="0"/>
      <w:marTop w:val="0"/>
      <w:marBottom w:val="0"/>
      <w:divBdr>
        <w:top w:val="none" w:sz="0" w:space="0" w:color="auto"/>
        <w:left w:val="none" w:sz="0" w:space="0" w:color="auto"/>
        <w:bottom w:val="none" w:sz="0" w:space="0" w:color="auto"/>
        <w:right w:val="none" w:sz="0" w:space="0" w:color="auto"/>
      </w:divBdr>
      <w:divsChild>
        <w:div w:id="1983995386">
          <w:marLeft w:val="0"/>
          <w:marRight w:val="0"/>
          <w:marTop w:val="0"/>
          <w:marBottom w:val="0"/>
          <w:divBdr>
            <w:top w:val="none" w:sz="0" w:space="0" w:color="auto"/>
            <w:left w:val="none" w:sz="0" w:space="0" w:color="auto"/>
            <w:bottom w:val="none" w:sz="0" w:space="0" w:color="auto"/>
            <w:right w:val="none" w:sz="0" w:space="0" w:color="auto"/>
          </w:divBdr>
          <w:divsChild>
            <w:div w:id="252595495">
              <w:marLeft w:val="0"/>
              <w:marRight w:val="0"/>
              <w:marTop w:val="0"/>
              <w:marBottom w:val="0"/>
              <w:divBdr>
                <w:top w:val="none" w:sz="0" w:space="0" w:color="auto"/>
                <w:left w:val="none" w:sz="0" w:space="0" w:color="auto"/>
                <w:bottom w:val="none" w:sz="0" w:space="0" w:color="auto"/>
                <w:right w:val="none" w:sz="0" w:space="0" w:color="auto"/>
              </w:divBdr>
              <w:divsChild>
                <w:div w:id="1295795462">
                  <w:marLeft w:val="0"/>
                  <w:marRight w:val="0"/>
                  <w:marTop w:val="0"/>
                  <w:marBottom w:val="0"/>
                  <w:divBdr>
                    <w:top w:val="none" w:sz="0" w:space="0" w:color="auto"/>
                    <w:left w:val="none" w:sz="0" w:space="0" w:color="auto"/>
                    <w:bottom w:val="none" w:sz="0" w:space="0" w:color="auto"/>
                    <w:right w:val="none" w:sz="0" w:space="0" w:color="auto"/>
                  </w:divBdr>
                  <w:divsChild>
                    <w:div w:id="15667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4032-A9ED-8340-BE11-1CAEDC0F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Van Oosterum</dc:creator>
  <cp:keywords/>
  <dc:description/>
  <cp:lastModifiedBy>Kyle Van Oosterum</cp:lastModifiedBy>
  <cp:revision>7</cp:revision>
  <dcterms:created xsi:type="dcterms:W3CDTF">2021-11-05T14:41:00Z</dcterms:created>
  <dcterms:modified xsi:type="dcterms:W3CDTF">2021-11-08T11:41:00Z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id="yAxWGIhB"/&gt;&lt;style id="http://www.zotero.org/styles/chicago-fullnote-bibliography" locale="en-GB" hasBibliography="1" bibliographyStyleHasBeenSet="0"/&gt;&lt;prefs&gt;&lt;pref name="fieldType" value="Field"</vt:lpwstr>
  </property>
  <property fmtid="{D5CDD505-2E9C-101B-9397-08002B2CF9AE}" pid="3" name="ZOTERO_PREF_2">
    <vt:lpwstr>/&gt;&lt;pref name="automaticJournalAbbreviations" value="true"/&gt;&lt;pref name="noteType" value="1"/&gt;&lt;/prefs&gt;&lt;/data&gt;</vt:lpwstr>
  </property>
</Properties>
</file>